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5EEC5">
      <w:pPr>
        <w:rPr>
          <w:rFonts w:eastAsia="仿宋_GB2312"/>
          <w:sz w:val="84"/>
        </w:rPr>
      </w:pPr>
    </w:p>
    <w:p w14:paraId="4CD3B23F">
      <w:pPr>
        <w:ind w:right="105"/>
        <w:jc w:val="right"/>
        <w:rPr>
          <w:rFonts w:eastAsia="黑体"/>
          <w:b/>
          <w:spacing w:val="40"/>
          <w:w w:val="66"/>
          <w:sz w:val="60"/>
          <w:szCs w:val="60"/>
        </w:rPr>
      </w:pPr>
      <w:r>
        <w:rPr>
          <w:rFonts w:hint="eastAsia" w:eastAsia="黑体"/>
          <w:b/>
          <w:spacing w:val="40"/>
          <w:w w:val="66"/>
          <w:sz w:val="60"/>
          <w:szCs w:val="60"/>
        </w:rPr>
        <w:t xml:space="preserve">     天津税务2026年基础环境及数据链路运行维护项目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720090"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7.4pt;height:0pt;width:56.7pt;z-index:251659264;mso-width-relative:page;mso-height-relative:page;" filled="f" stroked="t" coordsize="21600,21600" o:gfxdata="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sIvGnWAAAA&#10;CA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p>
    <w:p w14:paraId="4F87B095">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2C167FBF">
      <w:pPr>
        <w:ind w:right="1025"/>
        <w:jc w:val="center"/>
        <w:rPr>
          <w:rFonts w:eastAsia="黑体"/>
          <w:b/>
          <w:spacing w:val="40"/>
          <w:w w:val="66"/>
          <w:sz w:val="60"/>
          <w:szCs w:val="60"/>
        </w:rPr>
      </w:pPr>
    </w:p>
    <w:p w14:paraId="5BB86511">
      <w:pPr>
        <w:jc w:val="center"/>
        <w:rPr>
          <w:rFonts w:eastAsia="黑体"/>
          <w:b/>
          <w:spacing w:val="40"/>
          <w:w w:val="66"/>
          <w:sz w:val="15"/>
          <w:szCs w:val="15"/>
        </w:rPr>
      </w:pPr>
      <w:r>
        <w:rPr>
          <w:rFonts w:eastAsia="黑体"/>
          <w:b/>
          <w:spacing w:val="40"/>
          <w:w w:val="66"/>
          <w:sz w:val="56"/>
          <w:szCs w:val="56"/>
        </w:rPr>
        <w:t xml:space="preserve">            </w:t>
      </w:r>
    </w:p>
    <w:p w14:paraId="2710F1AA">
      <w:pPr>
        <w:jc w:val="center"/>
        <w:rPr>
          <w:rFonts w:eastAsia="黑体"/>
          <w:spacing w:val="40"/>
          <w:w w:val="66"/>
          <w:sz w:val="32"/>
          <w:szCs w:val="32"/>
        </w:rPr>
      </w:pPr>
      <w:r>
        <w:rPr>
          <w:rFonts w:eastAsia="黑体"/>
          <w:spacing w:val="40"/>
          <w:w w:val="66"/>
          <w:sz w:val="32"/>
          <w:szCs w:val="32"/>
        </w:rPr>
        <w:t>（项目编号：TGPC-2026-D-0895）</w:t>
      </w:r>
    </w:p>
    <w:p w14:paraId="407DA45A">
      <w:pPr>
        <w:rPr>
          <w:sz w:val="40"/>
        </w:rPr>
      </w:pPr>
    </w:p>
    <w:p w14:paraId="3572EC7E">
      <w:pPr>
        <w:rPr>
          <w:sz w:val="36"/>
        </w:rPr>
      </w:pPr>
    </w:p>
    <w:p w14:paraId="268E42ED">
      <w:pPr>
        <w:rPr>
          <w:sz w:val="36"/>
        </w:rPr>
      </w:pPr>
    </w:p>
    <w:p w14:paraId="5BBCF5B4">
      <w:pPr>
        <w:rPr>
          <w:sz w:val="36"/>
        </w:rPr>
      </w:pPr>
    </w:p>
    <w:p w14:paraId="454D615D">
      <w:pPr>
        <w:rPr>
          <w:sz w:val="36"/>
        </w:rPr>
      </w:pPr>
    </w:p>
    <w:p w14:paraId="15EBC876">
      <w:pPr>
        <w:rPr>
          <w:sz w:val="36"/>
        </w:rPr>
      </w:pPr>
    </w:p>
    <w:p w14:paraId="6E3FDD94">
      <w:pPr>
        <w:rPr>
          <w:sz w:val="36"/>
        </w:rPr>
      </w:pPr>
    </w:p>
    <w:p w14:paraId="60241E45">
      <w:pPr>
        <w:rPr>
          <w:sz w:val="36"/>
        </w:rPr>
      </w:pPr>
    </w:p>
    <w:p w14:paraId="4F21D335">
      <w:pPr>
        <w:rPr>
          <w:sz w:val="36"/>
        </w:rPr>
      </w:pPr>
    </w:p>
    <w:p w14:paraId="1E8600D2">
      <w:pPr>
        <w:ind w:firstLine="2897" w:firstLineChars="1493"/>
        <w:rPr>
          <w:rFonts w:eastAsia="黑体"/>
          <w:spacing w:val="20"/>
          <w:w w:val="66"/>
          <w:sz w:val="44"/>
          <w:szCs w:val="44"/>
        </w:rPr>
      </w:pPr>
      <w:bookmarkStart w:id="8" w:name="_GoBack"/>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bookmarkEnd w:id="8"/>
      <w:r>
        <w:rPr>
          <w:rFonts w:eastAsia="黑体"/>
          <w:spacing w:val="20"/>
          <w:w w:val="66"/>
          <w:sz w:val="44"/>
          <w:szCs w:val="44"/>
        </w:rPr>
        <w:t>天津市政府采购中心</w:t>
      </w:r>
    </w:p>
    <w:p w14:paraId="0E2AC602">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8</w:t>
      </w:r>
    </w:p>
    <w:p w14:paraId="48139C1B">
      <w:pPr>
        <w:widowControl/>
        <w:jc w:val="left"/>
        <w:rPr>
          <w:rFonts w:eastAsia="仿宋_GB2312"/>
          <w:b/>
          <w:bCs/>
          <w:kern w:val="0"/>
          <w:sz w:val="44"/>
          <w:szCs w:val="44"/>
        </w:rPr>
      </w:pPr>
    </w:p>
    <w:p w14:paraId="6BAB251B">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69E743EC">
      <w:pPr>
        <w:ind w:firstLine="408" w:firstLineChars="100"/>
        <w:jc w:val="center"/>
        <w:rPr>
          <w:b/>
          <w:spacing w:val="20"/>
          <w:w w:val="80"/>
          <w:sz w:val="48"/>
          <w:szCs w:val="48"/>
        </w:rPr>
      </w:pPr>
      <w:r>
        <w:rPr>
          <w:b/>
          <w:spacing w:val="20"/>
          <w:w w:val="80"/>
          <w:sz w:val="48"/>
          <w:szCs w:val="48"/>
        </w:rPr>
        <w:t>目  录</w:t>
      </w:r>
    </w:p>
    <w:p w14:paraId="4D439E73">
      <w:pPr>
        <w:spacing w:line="560" w:lineRule="exact"/>
        <w:ind w:right="-141" w:rightChars="-73"/>
        <w:rPr>
          <w:b/>
          <w:sz w:val="24"/>
        </w:rPr>
      </w:pPr>
      <w:r>
        <w:rPr>
          <w:b/>
          <w:sz w:val="24"/>
        </w:rPr>
        <w:t>第一部分  投标邀请函</w:t>
      </w:r>
    </w:p>
    <w:p w14:paraId="3FA4FA0C">
      <w:pPr>
        <w:spacing w:line="560" w:lineRule="exact"/>
        <w:ind w:right="-141" w:rightChars="-73"/>
        <w:rPr>
          <w:b/>
          <w:sz w:val="24"/>
        </w:rPr>
      </w:pPr>
    </w:p>
    <w:p w14:paraId="2166EBF9">
      <w:pPr>
        <w:spacing w:line="560" w:lineRule="exact"/>
        <w:ind w:right="-141" w:rightChars="-73"/>
        <w:rPr>
          <w:b/>
          <w:sz w:val="24"/>
        </w:rPr>
      </w:pPr>
      <w:r>
        <w:rPr>
          <w:b/>
          <w:sz w:val="24"/>
        </w:rPr>
        <w:t>第二部分  招标项目需求</w:t>
      </w:r>
    </w:p>
    <w:p w14:paraId="5ED31ABD">
      <w:pPr>
        <w:spacing w:line="560" w:lineRule="exact"/>
        <w:ind w:right="-141" w:rightChars="-73"/>
        <w:rPr>
          <w:b/>
          <w:sz w:val="24"/>
        </w:rPr>
      </w:pPr>
    </w:p>
    <w:p w14:paraId="03267881">
      <w:pPr>
        <w:spacing w:line="560" w:lineRule="exact"/>
        <w:ind w:right="-141" w:rightChars="-73"/>
        <w:rPr>
          <w:b/>
          <w:sz w:val="24"/>
        </w:rPr>
      </w:pPr>
      <w:r>
        <w:rPr>
          <w:b/>
          <w:sz w:val="24"/>
        </w:rPr>
        <w:t>第三部分  投标须知</w:t>
      </w:r>
    </w:p>
    <w:p w14:paraId="3AD8B6EF">
      <w:pPr>
        <w:spacing w:line="560" w:lineRule="exact"/>
        <w:ind w:right="-141" w:rightChars="-73"/>
        <w:rPr>
          <w:sz w:val="24"/>
        </w:rPr>
      </w:pPr>
    </w:p>
    <w:p w14:paraId="1CFDD0FA">
      <w:pPr>
        <w:spacing w:line="560" w:lineRule="exact"/>
        <w:rPr>
          <w:b/>
          <w:sz w:val="24"/>
        </w:rPr>
      </w:pPr>
      <w:r>
        <w:rPr>
          <w:b/>
          <w:sz w:val="24"/>
        </w:rPr>
        <w:t>第四部分  合同条款</w:t>
      </w:r>
    </w:p>
    <w:p w14:paraId="0427841A">
      <w:pPr>
        <w:spacing w:line="560" w:lineRule="exact"/>
        <w:rPr>
          <w:sz w:val="24"/>
        </w:rPr>
      </w:pPr>
    </w:p>
    <w:p w14:paraId="00809285">
      <w:pPr>
        <w:spacing w:line="560" w:lineRule="exact"/>
        <w:rPr>
          <w:sz w:val="24"/>
        </w:rPr>
      </w:pPr>
      <w:r>
        <w:rPr>
          <w:b/>
          <w:sz w:val="24"/>
        </w:rPr>
        <w:t>第五部分  投标文件格式</w:t>
      </w:r>
    </w:p>
    <w:p w14:paraId="783642E5">
      <w:pPr>
        <w:rPr>
          <w:sz w:val="24"/>
        </w:rPr>
      </w:pPr>
    </w:p>
    <w:p w14:paraId="380FD817">
      <w:pPr>
        <w:rPr>
          <w:sz w:val="24"/>
        </w:rPr>
      </w:pPr>
    </w:p>
    <w:p w14:paraId="5A0ED781">
      <w:pPr>
        <w:rPr>
          <w:sz w:val="24"/>
        </w:rPr>
      </w:pPr>
    </w:p>
    <w:p w14:paraId="5DDAFFF7">
      <w:pPr>
        <w:rPr>
          <w:sz w:val="24"/>
        </w:rPr>
      </w:pPr>
    </w:p>
    <w:p w14:paraId="2738E2DB">
      <w:pPr>
        <w:rPr>
          <w:sz w:val="24"/>
        </w:rPr>
      </w:pPr>
    </w:p>
    <w:p w14:paraId="3E6B1A8D">
      <w:pPr>
        <w:rPr>
          <w:sz w:val="24"/>
        </w:rPr>
      </w:pPr>
    </w:p>
    <w:p w14:paraId="47383791">
      <w:pPr>
        <w:rPr>
          <w:b/>
        </w:rPr>
      </w:pPr>
    </w:p>
    <w:p w14:paraId="40E92220">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347CD4B1">
      <w:pPr>
        <w:pStyle w:val="16"/>
        <w:rPr>
          <w:rFonts w:ascii="Times New Roman" w:hAnsi="Times New Roman"/>
        </w:rPr>
      </w:pPr>
      <w:r>
        <w:rPr>
          <w:rFonts w:ascii="Times New Roman" w:hAnsi="Times New Roman"/>
        </w:rPr>
        <w:t>第一部分  投标邀请函</w:t>
      </w:r>
      <w:bookmarkEnd w:id="0"/>
    </w:p>
    <w:p w14:paraId="7BE88CD6">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天津税务2026年基础环境及数据链路运行维护项目</w:t>
      </w:r>
      <w:r>
        <w:rPr>
          <w:rFonts w:ascii="Times New Roman" w:hAnsi="Times New Roman" w:cs="Times New Roman" w:eastAsiaTheme="minorEastAsia"/>
          <w:color w:val="auto"/>
          <w:szCs w:val="32"/>
        </w:rPr>
        <w:t>实施政府采购。现欢迎合格的供应商参加投标。</w:t>
      </w:r>
    </w:p>
    <w:p w14:paraId="30C119E8">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1AC5FC2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0EB44A6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天津税务2026年基础环境及数据链路运行维护项目</w:t>
      </w:r>
    </w:p>
    <w:p w14:paraId="7F6EE27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（二）项目编号：TGPC-2026-D-0895</w:t>
      </w:r>
    </w:p>
    <w:p w14:paraId="1E4DB59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7677258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24AAD61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3F3736E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23D19D6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4F57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2B67CCC6">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685E1CAE">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14:paraId="108B40D9">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14:paraId="766CEA01">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620C8E1D">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41D815A8">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7501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79AD4B45">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4D8BA584">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基础环境及数据链路运行维护</w:t>
            </w:r>
          </w:p>
        </w:tc>
        <w:tc>
          <w:tcPr>
            <w:tcW w:w="1815" w:type="dxa"/>
            <w:vAlign w:val="center"/>
          </w:tcPr>
          <w:p w14:paraId="4DA3B6C2">
            <w:pPr>
              <w:pStyle w:val="29"/>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1877534.8</w:t>
            </w:r>
            <w:r>
              <w:rPr>
                <w:rFonts w:hint="eastAsia" w:ascii="Times New Roman" w:hAnsi="Times New Roman" w:eastAsia="宋体" w:cs="Times New Roman"/>
                <w:color w:val="auto"/>
                <w:sz w:val="21"/>
                <w:szCs w:val="21"/>
              </w:rPr>
              <w:t>元</w:t>
            </w:r>
          </w:p>
        </w:tc>
        <w:tc>
          <w:tcPr>
            <w:tcW w:w="1947" w:type="dxa"/>
            <w:vAlign w:val="center"/>
          </w:tcPr>
          <w:p w14:paraId="373D07DA">
            <w:pPr>
              <w:pStyle w:val="29"/>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1877534.8</w:t>
            </w:r>
            <w:r>
              <w:rPr>
                <w:rFonts w:hint="eastAsia" w:ascii="Times New Roman" w:hAnsi="Times New Roman" w:eastAsia="宋体" w:cs="Times New Roman"/>
                <w:color w:val="auto"/>
                <w:sz w:val="21"/>
                <w:szCs w:val="21"/>
              </w:rPr>
              <w:t>元</w:t>
            </w:r>
          </w:p>
        </w:tc>
        <w:tc>
          <w:tcPr>
            <w:tcW w:w="1735" w:type="dxa"/>
            <w:vAlign w:val="center"/>
          </w:tcPr>
          <w:p w14:paraId="3833D57A">
            <w:pPr>
              <w:pStyle w:val="29"/>
              <w:spacing w:line="360" w:lineRule="auto"/>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虚拟化、数据库、操作系统等系统软件运维服务期限为合同签订之日起12个月，“金四”配套软件基础环境及数据链路服务期限为合同规定之日起8个月</w:t>
            </w:r>
          </w:p>
        </w:tc>
        <w:tc>
          <w:tcPr>
            <w:tcW w:w="1389" w:type="dxa"/>
            <w:vAlign w:val="center"/>
          </w:tcPr>
          <w:p w14:paraId="046011EE">
            <w:pPr>
              <w:pStyle w:val="29"/>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14:paraId="2904580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539F061C">
      <w:pPr>
        <w:pStyle w:val="29"/>
        <w:spacing w:line="360" w:lineRule="auto"/>
        <w:ind w:firstLine="448" w:firstLineChars="200"/>
        <w:rPr>
          <w:rFonts w:ascii="Times New Roman" w:hAnsi="Times New Roman" w:eastAsia="宋体" w:cs="Times New Roman"/>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供应商应具备《中华人民共和国政府采购法》第二十二条第一款和《中华人民共和国政府采购法实施条例》第十八条规定的条件，</w:t>
      </w:r>
      <w:r>
        <w:rPr>
          <w:rFonts w:ascii="Times New Roman" w:hAnsi="Times New Roman" w:eastAsia="宋体" w:cs="Times New Roman"/>
          <w:color w:val="auto"/>
        </w:rPr>
        <w:t>提供以下材料：</w:t>
      </w:r>
    </w:p>
    <w:p w14:paraId="33F9A35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49D7178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50DF559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（二）本项目专门面向中小企业采购，提供《中小企业声明函》。</w:t>
      </w:r>
    </w:p>
    <w:p w14:paraId="46C8EE1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1AED159C">
      <w:pPr>
        <w:pStyle w:val="29"/>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14:paraId="7B42449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04B7A34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144D9C2C">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69990B49">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3C89BD3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6FA806E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14:paraId="4018A89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6B3A9E2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1280A6A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47C2F8BA">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465F047E">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574F7414">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037"/>
        <w:gridCol w:w="2486"/>
      </w:tblGrid>
      <w:tr w14:paraId="4CD7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7DDED09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6735F831">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5EF4E9AB">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2037" w:type="dxa"/>
            <w:vAlign w:val="center"/>
          </w:tcPr>
          <w:p w14:paraId="23FBB327">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486" w:type="dxa"/>
            <w:vAlign w:val="center"/>
          </w:tcPr>
          <w:p w14:paraId="3D5A09CE">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3441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DF9AA27">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01144EE6">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1CFB070B">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8</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14</w:t>
            </w:r>
            <w:r>
              <w:rPr>
                <w:rFonts w:ascii="Times New Roman" w:hAnsi="Times New Roman" w:eastAsia="宋体" w:cs="Times New Roman"/>
                <w:color w:val="auto"/>
                <w:sz w:val="21"/>
                <w:szCs w:val="21"/>
              </w:rPr>
              <w:t>日</w:t>
            </w:r>
          </w:p>
        </w:tc>
        <w:tc>
          <w:tcPr>
            <w:tcW w:w="2037" w:type="dxa"/>
            <w:vAlign w:val="center"/>
          </w:tcPr>
          <w:p w14:paraId="7503CED9">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8</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21</w:t>
            </w:r>
            <w:r>
              <w:rPr>
                <w:rFonts w:ascii="Times New Roman" w:hAnsi="Times New Roman" w:eastAsia="宋体" w:cs="Times New Roman"/>
                <w:color w:val="auto"/>
                <w:sz w:val="21"/>
                <w:szCs w:val="21"/>
              </w:rPr>
              <w:t>日</w:t>
            </w:r>
          </w:p>
        </w:tc>
        <w:tc>
          <w:tcPr>
            <w:tcW w:w="2486" w:type="dxa"/>
            <w:vAlign w:val="center"/>
          </w:tcPr>
          <w:p w14:paraId="2AD83020">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11596C7E">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7BB2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4DAC27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6FDBEC35">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38FA4A8D">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2026年8月14日9:00</w:t>
            </w:r>
          </w:p>
        </w:tc>
        <w:tc>
          <w:tcPr>
            <w:tcW w:w="2037" w:type="dxa"/>
            <w:vAlign w:val="center"/>
          </w:tcPr>
          <w:p w14:paraId="37ACF4D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2026年9月4日8:30</w:t>
            </w:r>
          </w:p>
        </w:tc>
        <w:tc>
          <w:tcPr>
            <w:tcW w:w="2486" w:type="dxa"/>
            <w:vAlign w:val="center"/>
          </w:tcPr>
          <w:p w14:paraId="047238A9">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772F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vAlign w:val="center"/>
          </w:tcPr>
          <w:p w14:paraId="7133693E">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520A3A8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78CE7107">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2026年9月4日8:30</w:t>
            </w:r>
          </w:p>
        </w:tc>
        <w:tc>
          <w:tcPr>
            <w:tcW w:w="2037" w:type="dxa"/>
            <w:vAlign w:val="center"/>
          </w:tcPr>
          <w:p w14:paraId="3F4B28F1">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2026年9月4日9:30</w:t>
            </w:r>
          </w:p>
        </w:tc>
        <w:tc>
          <w:tcPr>
            <w:tcW w:w="2486" w:type="dxa"/>
            <w:vAlign w:val="center"/>
          </w:tcPr>
          <w:p w14:paraId="4FFCDCD1">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692C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4AB27E72">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3C4066FF">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7C0D2EA1">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2026年9月4日9:30</w:t>
            </w:r>
          </w:p>
        </w:tc>
        <w:tc>
          <w:tcPr>
            <w:tcW w:w="2037" w:type="dxa"/>
            <w:vAlign w:val="center"/>
          </w:tcPr>
          <w:p w14:paraId="053CC5F1">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2026年9月4日17:00</w:t>
            </w:r>
          </w:p>
        </w:tc>
        <w:tc>
          <w:tcPr>
            <w:tcW w:w="2486" w:type="dxa"/>
            <w:vAlign w:val="center"/>
          </w:tcPr>
          <w:p w14:paraId="075F15AD">
            <w:pPr>
              <w:pStyle w:val="29"/>
              <w:snapToGrid w:val="0"/>
              <w:jc w:val="both"/>
              <w:rPr>
                <w:rFonts w:ascii="Times New Roman" w:hAnsi="Times New Roman" w:eastAsia="宋体"/>
                <w:color w:val="auto"/>
                <w:sz w:val="21"/>
                <w:szCs w:val="21"/>
              </w:rPr>
            </w:pPr>
          </w:p>
        </w:tc>
      </w:tr>
    </w:tbl>
    <w:p w14:paraId="4898E5D7">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6D1C260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344DCF5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4C5115E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4A71452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3F5F879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25EF9CA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6DFD912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1D3017B4">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4002F23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48B97D54">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3A6D4127">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142F81F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1671A81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6E032FB2">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48060B4E">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7A7EC484">
      <w:pPr>
        <w:pStyle w:val="29"/>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37A1447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14:paraId="55DAB7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0681099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7762C38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2E08564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rPr>
        <w:t>丁亚天</w:t>
      </w:r>
      <w:r>
        <w:rPr>
          <w:rFonts w:ascii="Times New Roman" w:hAnsi="Times New Roman" w:eastAsia="宋体" w:cs="Times New Roman"/>
          <w:color w:val="auto"/>
        </w:rPr>
        <w:t>、王蓉蓉</w:t>
      </w:r>
    </w:p>
    <w:p w14:paraId="5988D41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7E78BBF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51ECB0D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4BD0455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03D2211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26AA074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14:paraId="6D4BFFE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4CC3B59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65D7673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5D65904B">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3A2BB220">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牛宗雯</w:t>
      </w:r>
    </w:p>
    <w:p w14:paraId="728FB43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（四）采购人联系电话：022-24465513</w:t>
      </w:r>
    </w:p>
    <w:p w14:paraId="3775F23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062CC3E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56E4796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605F1D7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1859820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77980DC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人：牛宗雯</w:t>
      </w:r>
    </w:p>
    <w:p w14:paraId="2BA7110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022-24465513</w:t>
      </w:r>
    </w:p>
    <w:p w14:paraId="04E2A9A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66871D7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67B3006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41DAAA5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2F13E85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67A7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2C869CF5">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1B215DC7">
            <w:pPr>
              <w:tabs>
                <w:tab w:val="left" w:pos="750"/>
                <w:tab w:val="left" w:pos="840"/>
              </w:tabs>
              <w:adjustRightInd w:val="0"/>
              <w:snapToGrid w:val="0"/>
              <w:jc w:val="center"/>
              <w:rPr>
                <w:sz w:val="24"/>
              </w:rPr>
            </w:pPr>
            <w:r>
              <w:rPr>
                <w:sz w:val="24"/>
              </w:rPr>
              <w:t>费率</w:t>
            </w:r>
          </w:p>
        </w:tc>
      </w:tr>
      <w:tr w14:paraId="33DE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1F22FA4">
            <w:pPr>
              <w:tabs>
                <w:tab w:val="left" w:pos="750"/>
                <w:tab w:val="left" w:pos="840"/>
              </w:tabs>
              <w:adjustRightInd w:val="0"/>
              <w:snapToGrid w:val="0"/>
              <w:jc w:val="center"/>
              <w:rPr>
                <w:sz w:val="24"/>
              </w:rPr>
            </w:pPr>
            <w:r>
              <w:rPr>
                <w:sz w:val="24"/>
              </w:rPr>
              <w:t>100以下</w:t>
            </w:r>
          </w:p>
        </w:tc>
        <w:tc>
          <w:tcPr>
            <w:tcW w:w="3657" w:type="dxa"/>
            <w:vAlign w:val="center"/>
          </w:tcPr>
          <w:p w14:paraId="2317787B">
            <w:pPr>
              <w:tabs>
                <w:tab w:val="left" w:pos="750"/>
                <w:tab w:val="left" w:pos="840"/>
              </w:tabs>
              <w:adjustRightInd w:val="0"/>
              <w:snapToGrid w:val="0"/>
              <w:jc w:val="center"/>
              <w:rPr>
                <w:sz w:val="24"/>
              </w:rPr>
            </w:pPr>
            <w:r>
              <w:rPr>
                <w:sz w:val="24"/>
              </w:rPr>
              <w:t>1%</w:t>
            </w:r>
          </w:p>
        </w:tc>
      </w:tr>
      <w:tr w14:paraId="2C96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546B56D">
            <w:pPr>
              <w:tabs>
                <w:tab w:val="left" w:pos="750"/>
                <w:tab w:val="left" w:pos="840"/>
              </w:tabs>
              <w:adjustRightInd w:val="0"/>
              <w:snapToGrid w:val="0"/>
              <w:jc w:val="center"/>
              <w:rPr>
                <w:sz w:val="24"/>
              </w:rPr>
            </w:pPr>
            <w:r>
              <w:rPr>
                <w:sz w:val="24"/>
              </w:rPr>
              <w:t>100-500</w:t>
            </w:r>
          </w:p>
        </w:tc>
        <w:tc>
          <w:tcPr>
            <w:tcW w:w="3657" w:type="dxa"/>
            <w:vAlign w:val="center"/>
          </w:tcPr>
          <w:p w14:paraId="3761DACD">
            <w:pPr>
              <w:tabs>
                <w:tab w:val="left" w:pos="750"/>
                <w:tab w:val="left" w:pos="840"/>
              </w:tabs>
              <w:adjustRightInd w:val="0"/>
              <w:snapToGrid w:val="0"/>
              <w:jc w:val="center"/>
              <w:rPr>
                <w:sz w:val="24"/>
              </w:rPr>
            </w:pPr>
            <w:r>
              <w:rPr>
                <w:rFonts w:hint="eastAsia"/>
                <w:sz w:val="24"/>
              </w:rPr>
              <w:t>0.8</w:t>
            </w:r>
            <w:r>
              <w:rPr>
                <w:sz w:val="24"/>
              </w:rPr>
              <w:t>%</w:t>
            </w:r>
          </w:p>
        </w:tc>
      </w:tr>
      <w:tr w14:paraId="51A2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EA79479">
            <w:pPr>
              <w:tabs>
                <w:tab w:val="left" w:pos="750"/>
                <w:tab w:val="left" w:pos="840"/>
              </w:tabs>
              <w:adjustRightInd w:val="0"/>
              <w:snapToGrid w:val="0"/>
              <w:jc w:val="center"/>
              <w:rPr>
                <w:sz w:val="24"/>
              </w:rPr>
            </w:pPr>
            <w:r>
              <w:rPr>
                <w:sz w:val="24"/>
              </w:rPr>
              <w:t>500-1000</w:t>
            </w:r>
          </w:p>
        </w:tc>
        <w:tc>
          <w:tcPr>
            <w:tcW w:w="3657" w:type="dxa"/>
            <w:vAlign w:val="center"/>
          </w:tcPr>
          <w:p w14:paraId="7235AA95">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2B14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24DD3EE">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47121AC6">
            <w:pPr>
              <w:tabs>
                <w:tab w:val="left" w:pos="750"/>
                <w:tab w:val="left" w:pos="840"/>
              </w:tabs>
              <w:adjustRightInd w:val="0"/>
              <w:snapToGrid w:val="0"/>
              <w:jc w:val="center"/>
              <w:rPr>
                <w:sz w:val="24"/>
              </w:rPr>
            </w:pPr>
            <w:r>
              <w:rPr>
                <w:rFonts w:hint="eastAsia"/>
                <w:sz w:val="24"/>
              </w:rPr>
              <w:t>0.25%</w:t>
            </w:r>
          </w:p>
        </w:tc>
      </w:tr>
      <w:tr w14:paraId="0AC7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370C8D9">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560008ED">
            <w:pPr>
              <w:tabs>
                <w:tab w:val="left" w:pos="750"/>
                <w:tab w:val="left" w:pos="840"/>
              </w:tabs>
              <w:adjustRightInd w:val="0"/>
              <w:snapToGrid w:val="0"/>
              <w:jc w:val="center"/>
              <w:rPr>
                <w:sz w:val="24"/>
              </w:rPr>
            </w:pPr>
            <w:r>
              <w:rPr>
                <w:rFonts w:hint="eastAsia"/>
                <w:sz w:val="24"/>
              </w:rPr>
              <w:t>0.1%</w:t>
            </w:r>
          </w:p>
        </w:tc>
      </w:tr>
      <w:tr w14:paraId="01EC8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90A2E32">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03E7E536">
            <w:pPr>
              <w:tabs>
                <w:tab w:val="left" w:pos="750"/>
                <w:tab w:val="left" w:pos="840"/>
              </w:tabs>
              <w:adjustRightInd w:val="0"/>
              <w:snapToGrid w:val="0"/>
              <w:jc w:val="center"/>
              <w:rPr>
                <w:sz w:val="24"/>
              </w:rPr>
            </w:pPr>
            <w:r>
              <w:rPr>
                <w:rFonts w:hint="eastAsia"/>
                <w:sz w:val="24"/>
              </w:rPr>
              <w:t>0.05%</w:t>
            </w:r>
          </w:p>
        </w:tc>
      </w:tr>
    </w:tbl>
    <w:p w14:paraId="44286056">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16EDC90F">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16993C3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5A2DF3B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68D7253F">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58DAB32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08AFCD6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5B1A913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2B699FE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05EC6234">
      <w:pPr>
        <w:pStyle w:val="29"/>
        <w:spacing w:line="360" w:lineRule="auto"/>
        <w:ind w:firstLine="448" w:firstLineChars="200"/>
        <w:jc w:val="both"/>
        <w:rPr>
          <w:rFonts w:ascii="Times New Roman" w:hAnsi="Times New Roman" w:eastAsia="宋体" w:cs="Times New Roman"/>
          <w:color w:val="auto"/>
        </w:rPr>
      </w:pPr>
    </w:p>
    <w:p w14:paraId="488E6CA0">
      <w:pPr>
        <w:pStyle w:val="29"/>
        <w:spacing w:line="360" w:lineRule="auto"/>
        <w:jc w:val="both"/>
        <w:rPr>
          <w:rFonts w:ascii="Times New Roman" w:hAnsi="Times New Roman" w:eastAsia="宋体" w:cs="Times New Roman"/>
          <w:color w:val="auto"/>
        </w:rPr>
      </w:pPr>
    </w:p>
    <w:p w14:paraId="7980DAB8">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8</w:t>
      </w:r>
      <w:r>
        <w:rPr>
          <w:rFonts w:ascii="Times New Roman" w:hAnsi="Times New Roman" w:eastAsia="宋体" w:cs="Times New Roman"/>
          <w:color w:val="auto"/>
        </w:rPr>
        <w:t>月</w:t>
      </w:r>
      <w:r>
        <w:rPr>
          <w:rFonts w:hint="eastAsia" w:ascii="Times New Roman" w:hAnsi="Times New Roman" w:eastAsia="宋体" w:cs="Times New Roman"/>
          <w:color w:val="auto"/>
        </w:rPr>
        <w:t>14</w:t>
      </w:r>
      <w:r>
        <w:rPr>
          <w:rFonts w:ascii="Times New Roman" w:hAnsi="Times New Roman" w:eastAsia="宋体" w:cs="Times New Roman"/>
          <w:color w:val="auto"/>
        </w:rPr>
        <w:t>日</w:t>
      </w:r>
    </w:p>
    <w:p w14:paraId="1FC116A4">
      <w:pPr>
        <w:pStyle w:val="29"/>
        <w:spacing w:line="360" w:lineRule="auto"/>
        <w:ind w:right="892"/>
        <w:rPr>
          <w:rFonts w:ascii="Times New Roman" w:hAnsi="Times New Roman" w:eastAsia="宋体" w:cs="Times New Roman"/>
          <w:color w:val="auto"/>
        </w:rPr>
      </w:pPr>
    </w:p>
    <w:p w14:paraId="16F9BDAF">
      <w:pPr>
        <w:widowControl/>
        <w:jc w:val="left"/>
        <w:rPr>
          <w:kern w:val="0"/>
          <w:sz w:val="24"/>
          <w:szCs w:val="24"/>
        </w:rPr>
      </w:pPr>
      <w:r>
        <w:br w:type="page"/>
      </w:r>
    </w:p>
    <w:p w14:paraId="75523772">
      <w:pPr>
        <w:pStyle w:val="16"/>
        <w:rPr>
          <w:rFonts w:ascii="Times New Roman" w:hAnsi="Times New Roman"/>
        </w:rPr>
      </w:pPr>
      <w:r>
        <w:rPr>
          <w:rFonts w:ascii="Times New Roman" w:hAnsi="Times New Roman"/>
        </w:rPr>
        <w:t>第二部分  招标项目</w:t>
      </w:r>
      <w:bookmarkEnd w:id="3"/>
      <w:r>
        <w:rPr>
          <w:rFonts w:ascii="Times New Roman" w:hAnsi="Times New Roman"/>
        </w:rPr>
        <w:t>需求</w:t>
      </w:r>
    </w:p>
    <w:p w14:paraId="02940563">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393E928A">
      <w:pPr>
        <w:widowControl/>
        <w:ind w:firstLine="448" w:firstLineChars="200"/>
        <w:jc w:val="left"/>
        <w:rPr>
          <w:sz w:val="24"/>
        </w:rPr>
      </w:pPr>
      <w:r>
        <w:rPr>
          <w:rFonts w:hint="eastAsia"/>
          <w:sz w:val="24"/>
        </w:rPr>
        <w:t>一、项目背景</w:t>
      </w:r>
    </w:p>
    <w:p w14:paraId="0ED4F685">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随着税收信息化建设的高质量发展，信息系统建设依赖的基础软件环境平稳高效日益重要，本项目为我局核心征管、增值税发票管理系统、电子税务局等核心系统数据库、各类操作系统、中间件，以及税务专网虚拟化平台、互联网虚拟化平台、外联网虚拟化平台等软件平台，以及“金四”配套软件基础环境及数据链路平稳、安全和高效的运行，为上述软件提供5*8，重保时期7*24服务，充分利用专业技术力量，及时发现隐患，快速排除故障，为确保各系统的正常运行提供安全保障，对于提高税务信息系统整体服务水平起到重要作用。</w:t>
      </w:r>
    </w:p>
    <w:p w14:paraId="37D5DE2E">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62429D5A">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6D539647">
      <w:pPr>
        <w:spacing w:line="360" w:lineRule="auto"/>
        <w:ind w:firstLine="504" w:firstLineChars="225"/>
        <w:rPr>
          <w:sz w:val="24"/>
        </w:rPr>
      </w:pPr>
      <w:r>
        <w:rPr>
          <w:rFonts w:hint="eastAsia"/>
          <w:sz w:val="24"/>
        </w:rPr>
        <w:t>★（二）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投标人应严格遵守与采购人签订的保密协议，对上述开放资料严格保密，经采购人允许合规使用。</w:t>
      </w:r>
    </w:p>
    <w:p w14:paraId="40E711CC">
      <w:pPr>
        <w:spacing w:line="360" w:lineRule="auto"/>
        <w:ind w:firstLine="504" w:firstLineChars="225"/>
        <w:rPr>
          <w:sz w:val="24"/>
        </w:rPr>
      </w:pPr>
      <w:r>
        <w:rPr>
          <w:rFonts w:hint="eastAsia"/>
          <w:sz w:val="24"/>
        </w:rPr>
        <w:t>（三）具体需求详见项目需求书。</w:t>
      </w:r>
    </w:p>
    <w:p w14:paraId="63E55FCD">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264DE923">
      <w:pPr>
        <w:tabs>
          <w:tab w:val="left" w:pos="210"/>
        </w:tabs>
        <w:autoSpaceDE w:val="0"/>
        <w:autoSpaceDN w:val="0"/>
        <w:adjustRightInd w:val="0"/>
        <w:spacing w:line="360" w:lineRule="auto"/>
        <w:ind w:firstLine="448" w:firstLineChars="200"/>
        <w:outlineLvl w:val="0"/>
        <w:rPr>
          <w:sz w:val="24"/>
          <w:szCs w:val="24"/>
        </w:rPr>
      </w:pPr>
      <w:r>
        <w:rPr>
          <w:sz w:val="24"/>
          <w:szCs w:val="24"/>
        </w:rPr>
        <w:t>（一）报价要求</w:t>
      </w:r>
    </w:p>
    <w:p w14:paraId="3755F897">
      <w:pPr>
        <w:autoSpaceDE w:val="0"/>
        <w:autoSpaceDN w:val="0"/>
        <w:adjustRightInd w:val="0"/>
        <w:spacing w:line="360" w:lineRule="auto"/>
        <w:ind w:firstLine="448" w:firstLineChars="200"/>
        <w:rPr>
          <w:sz w:val="24"/>
        </w:rPr>
      </w:pPr>
      <w:r>
        <w:rPr>
          <w:sz w:val="24"/>
        </w:rPr>
        <w:t>1. 投标报价以人民币填列。</w:t>
      </w:r>
    </w:p>
    <w:p w14:paraId="058AF770">
      <w:pPr>
        <w:autoSpaceDE w:val="0"/>
        <w:autoSpaceDN w:val="0"/>
        <w:adjustRightInd w:val="0"/>
        <w:spacing w:line="360" w:lineRule="auto"/>
        <w:ind w:firstLine="448" w:firstLineChars="200"/>
        <w:rPr>
          <w:sz w:val="24"/>
        </w:rPr>
      </w:pPr>
      <w:r>
        <w:rPr>
          <w:sz w:val="24"/>
        </w:rPr>
        <w:t>2. 投标人的报价应包括：人员费用、</w:t>
      </w:r>
      <w:r>
        <w:rPr>
          <w:rFonts w:hint="eastAsia"/>
          <w:sz w:val="24"/>
        </w:rPr>
        <w:t>维保</w:t>
      </w:r>
      <w:r>
        <w:rPr>
          <w:sz w:val="24"/>
        </w:rPr>
        <w:t>服务费用、</w:t>
      </w:r>
      <w:r>
        <w:rPr>
          <w:rFonts w:hint="eastAsia"/>
          <w:sz w:val="24"/>
        </w:rPr>
        <w:t>管理费及税金</w:t>
      </w:r>
      <w:r>
        <w:rPr>
          <w:sz w:val="24"/>
        </w:rPr>
        <w:t>等为完成招标文件规定的一切工作所需的全部费用。投标人所报价格应为最终优惠价格。</w:t>
      </w:r>
    </w:p>
    <w:p w14:paraId="27A86E27">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14:paraId="11529C2D">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31CD7A65">
      <w:pPr>
        <w:autoSpaceDE w:val="0"/>
        <w:autoSpaceDN w:val="0"/>
        <w:adjustRightInd w:val="0"/>
        <w:spacing w:line="360" w:lineRule="auto"/>
        <w:ind w:firstLine="448" w:firstLineChars="200"/>
        <w:rPr>
          <w:sz w:val="24"/>
        </w:rPr>
      </w:pPr>
      <w:r>
        <w:rPr>
          <w:sz w:val="24"/>
        </w:rPr>
        <w:t>1. 时间要求：</w:t>
      </w:r>
      <w:r>
        <w:rPr>
          <w:rFonts w:hint="eastAsia"/>
          <w:sz w:val="24"/>
        </w:rPr>
        <w:t>虚拟化、数据库、操作系统等系统软件运维服务期限为合同签订之日起12个月，“金四”配套软件基础环境及数据链路服务期限为合同规定之日起8个月</w:t>
      </w:r>
      <w:r>
        <w:rPr>
          <w:sz w:val="24"/>
        </w:rPr>
        <w:t>（特殊情况以合同为准）。</w:t>
      </w:r>
    </w:p>
    <w:p w14:paraId="48164C66">
      <w:pPr>
        <w:autoSpaceDE w:val="0"/>
        <w:autoSpaceDN w:val="0"/>
        <w:adjustRightInd w:val="0"/>
        <w:spacing w:line="360" w:lineRule="auto"/>
        <w:ind w:firstLine="448" w:firstLineChars="200"/>
        <w:rPr>
          <w:sz w:val="24"/>
        </w:rPr>
      </w:pPr>
      <w:r>
        <w:rPr>
          <w:sz w:val="24"/>
        </w:rPr>
        <w:t>2. 服务地点：</w:t>
      </w:r>
      <w:r>
        <w:rPr>
          <w:rFonts w:hint="eastAsia"/>
          <w:sz w:val="24"/>
        </w:rPr>
        <w:t>天津市空港经济区流霞路50号、天津市河北区民主道16号、天津市空港经济区移动物流园区（移动机房）</w:t>
      </w:r>
      <w:r>
        <w:rPr>
          <w:sz w:val="24"/>
        </w:rPr>
        <w:t>（特殊情况以合同为准）。</w:t>
      </w:r>
    </w:p>
    <w:p w14:paraId="7A15A350">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4987FC96">
      <w:pPr>
        <w:autoSpaceDE w:val="0"/>
        <w:autoSpaceDN w:val="0"/>
        <w:adjustRightInd w:val="0"/>
        <w:spacing w:line="360" w:lineRule="auto"/>
        <w:ind w:firstLine="448" w:firstLineChars="200"/>
        <w:rPr>
          <w:sz w:val="24"/>
        </w:rPr>
      </w:pPr>
      <w:r>
        <w:rPr>
          <w:rFonts w:hint="eastAsia"/>
          <w:sz w:val="24"/>
        </w:rPr>
        <w:t>合同签订次日起30个自然日内支付合同总额的30%，服务期过半阶段性验收合格次日起30个自然日内支付合同总额的40%，服务期结束终验合格次日起30个自然日内支付合同总额的30%</w:t>
      </w:r>
      <w:r>
        <w:rPr>
          <w:sz w:val="24"/>
        </w:rPr>
        <w:t>（特殊情况以合同为准）。</w:t>
      </w:r>
    </w:p>
    <w:p w14:paraId="56B21C24">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09ABA65D">
      <w:pPr>
        <w:autoSpaceDE w:val="0"/>
        <w:autoSpaceDN w:val="0"/>
        <w:adjustRightInd w:val="0"/>
        <w:spacing w:line="360" w:lineRule="auto"/>
        <w:ind w:firstLine="448" w:firstLineChars="200"/>
        <w:rPr>
          <w:sz w:val="24"/>
        </w:rPr>
      </w:pPr>
      <w:r>
        <w:rPr>
          <w:sz w:val="24"/>
        </w:rPr>
        <w:t>本项目不收取投标保证金和履约保证金。</w:t>
      </w:r>
    </w:p>
    <w:p w14:paraId="0FAAE14B">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6976003B">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001880A8">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42"/>
        <w:gridCol w:w="7288"/>
        <w:gridCol w:w="1143"/>
      </w:tblGrid>
      <w:tr w14:paraId="0233E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tcBorders>
              <w:top w:val="single" w:color="auto" w:sz="4" w:space="0"/>
              <w:left w:val="single" w:color="auto" w:sz="4" w:space="0"/>
              <w:bottom w:val="single" w:color="auto" w:sz="4" w:space="0"/>
              <w:right w:val="single" w:color="auto" w:sz="4" w:space="0"/>
            </w:tcBorders>
            <w:vAlign w:val="center"/>
          </w:tcPr>
          <w:p w14:paraId="31C1D2CD">
            <w:pPr>
              <w:widowControl/>
              <w:adjustRightInd w:val="0"/>
              <w:snapToGrid w:val="0"/>
              <w:jc w:val="center"/>
              <w:rPr>
                <w:kern w:val="0"/>
                <w:sz w:val="24"/>
                <w:szCs w:val="24"/>
              </w:rPr>
            </w:pPr>
            <w:r>
              <w:rPr>
                <w:rFonts w:hint="eastAsia"/>
                <w:kern w:val="0"/>
                <w:sz w:val="24"/>
                <w:szCs w:val="24"/>
              </w:rPr>
              <w:t>第一部分</w:t>
            </w:r>
            <w:r>
              <w:rPr>
                <w:kern w:val="0"/>
                <w:sz w:val="24"/>
                <w:szCs w:val="24"/>
              </w:rPr>
              <w:t xml:space="preserve"> </w:t>
            </w:r>
            <w:r>
              <w:rPr>
                <w:rFonts w:hint="eastAsia"/>
                <w:kern w:val="0"/>
                <w:sz w:val="24"/>
                <w:szCs w:val="24"/>
              </w:rPr>
              <w:t>价格（10分）</w:t>
            </w:r>
          </w:p>
        </w:tc>
        <w:tc>
          <w:tcPr>
            <w:tcW w:w="1143" w:type="dxa"/>
            <w:tcBorders>
              <w:top w:val="single" w:color="auto" w:sz="4" w:space="0"/>
              <w:left w:val="single" w:color="auto" w:sz="4" w:space="0"/>
              <w:bottom w:val="single" w:color="auto" w:sz="4" w:space="0"/>
              <w:right w:val="single" w:color="auto" w:sz="4" w:space="0"/>
            </w:tcBorders>
            <w:vAlign w:val="center"/>
          </w:tcPr>
          <w:p w14:paraId="6F53FAF9">
            <w:pPr>
              <w:widowControl/>
              <w:adjustRightInd w:val="0"/>
              <w:snapToGrid w:val="0"/>
              <w:jc w:val="center"/>
              <w:rPr>
                <w:kern w:val="0"/>
                <w:sz w:val="24"/>
                <w:szCs w:val="24"/>
              </w:rPr>
            </w:pPr>
            <w:r>
              <w:rPr>
                <w:rFonts w:hint="eastAsia"/>
                <w:kern w:val="0"/>
                <w:sz w:val="24"/>
                <w:szCs w:val="24"/>
              </w:rPr>
              <w:t>分值</w:t>
            </w:r>
          </w:p>
        </w:tc>
      </w:tr>
      <w:tr w14:paraId="476F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08D7E9FC">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002DA724">
            <w:pPr>
              <w:widowControl/>
              <w:adjustRightInd w:val="0"/>
              <w:snapToGrid w:val="0"/>
              <w:jc w:val="center"/>
              <w:rPr>
                <w:kern w:val="0"/>
                <w:sz w:val="24"/>
                <w:szCs w:val="24"/>
              </w:rPr>
            </w:pPr>
            <w:r>
              <w:rPr>
                <w:rFonts w:hint="eastAsia"/>
                <w:kern w:val="0"/>
                <w:sz w:val="24"/>
                <w:szCs w:val="24"/>
              </w:rPr>
              <w:t>价格</w:t>
            </w:r>
          </w:p>
        </w:tc>
        <w:tc>
          <w:tcPr>
            <w:tcW w:w="7288" w:type="dxa"/>
            <w:tcBorders>
              <w:top w:val="single" w:color="auto" w:sz="4" w:space="0"/>
              <w:left w:val="single" w:color="auto" w:sz="4" w:space="0"/>
              <w:bottom w:val="single" w:color="auto" w:sz="4" w:space="0"/>
              <w:right w:val="single" w:color="auto" w:sz="4" w:space="0"/>
            </w:tcBorders>
            <w:vAlign w:val="center"/>
          </w:tcPr>
          <w:p w14:paraId="2C44A6DA">
            <w:pPr>
              <w:widowControl/>
              <w:adjustRightInd w:val="0"/>
              <w:snapToGrid w:val="0"/>
              <w:rPr>
                <w:kern w:val="0"/>
                <w:sz w:val="24"/>
                <w:szCs w:val="24"/>
              </w:rPr>
            </w:pPr>
            <w:r>
              <w:rPr>
                <w:rFonts w:hint="eastAsia"/>
                <w:kern w:val="0"/>
                <w:sz w:val="24"/>
                <w:szCs w:val="24"/>
              </w:rPr>
              <w:t>（</w:t>
            </w:r>
            <w:r>
              <w:rPr>
                <w:kern w:val="0"/>
                <w:sz w:val="24"/>
                <w:szCs w:val="24"/>
              </w:rPr>
              <w:t>1</w:t>
            </w:r>
            <w:r>
              <w:rPr>
                <w:rFonts w:hint="eastAsia"/>
                <w:kern w:val="0"/>
                <w:sz w:val="24"/>
                <w:szCs w:val="24"/>
              </w:rPr>
              <w:t>）投标报价超过采购预算的，投标无效，未超过采购预算的投标报价按以下公式进行计算。</w:t>
            </w:r>
          </w:p>
          <w:p w14:paraId="6D08C464">
            <w:pPr>
              <w:widowControl/>
              <w:adjustRightInd w:val="0"/>
              <w:snapToGrid w:val="0"/>
              <w:rPr>
                <w:kern w:val="0"/>
                <w:sz w:val="24"/>
                <w:szCs w:val="24"/>
              </w:rPr>
            </w:pPr>
            <w:r>
              <w:rPr>
                <w:rFonts w:hint="eastAsia"/>
                <w:kern w:val="0"/>
                <w:sz w:val="24"/>
                <w:szCs w:val="24"/>
              </w:rPr>
              <w:t>（</w:t>
            </w:r>
            <w:r>
              <w:rPr>
                <w:kern w:val="0"/>
                <w:sz w:val="24"/>
                <w:szCs w:val="24"/>
              </w:rPr>
              <w:t>2</w:t>
            </w:r>
            <w:r>
              <w:rPr>
                <w:rFonts w:hint="eastAsia"/>
                <w:kern w:val="0"/>
                <w:sz w:val="24"/>
                <w:szCs w:val="24"/>
              </w:rPr>
              <w:t>）投标报价得分</w:t>
            </w:r>
            <w:r>
              <w:rPr>
                <w:kern w:val="0"/>
                <w:sz w:val="24"/>
                <w:szCs w:val="24"/>
              </w:rPr>
              <w:t>=</w:t>
            </w:r>
            <w:r>
              <w:rPr>
                <w:rFonts w:hint="eastAsia"/>
                <w:kern w:val="0"/>
                <w:sz w:val="24"/>
                <w:szCs w:val="24"/>
              </w:rPr>
              <w:t>（评标基准价</w:t>
            </w:r>
            <w:r>
              <w:rPr>
                <w:kern w:val="0"/>
                <w:sz w:val="24"/>
                <w:szCs w:val="24"/>
              </w:rPr>
              <w:t>/</w:t>
            </w:r>
            <w:r>
              <w:rPr>
                <w:rFonts w:hint="eastAsia"/>
                <w:kern w:val="0"/>
                <w:sz w:val="24"/>
                <w:szCs w:val="24"/>
              </w:rPr>
              <w:t>投标报价）</w:t>
            </w:r>
            <w:r>
              <w:rPr>
                <w:kern w:val="0"/>
                <w:sz w:val="24"/>
                <w:szCs w:val="24"/>
              </w:rPr>
              <w:t>×</w:t>
            </w:r>
            <w:r>
              <w:rPr>
                <w:rFonts w:hint="eastAsia"/>
                <w:kern w:val="0"/>
                <w:sz w:val="24"/>
                <w:szCs w:val="24"/>
              </w:rPr>
              <w:t>1</w:t>
            </w:r>
            <w:r>
              <w:rPr>
                <w:kern w:val="0"/>
                <w:sz w:val="24"/>
                <w:szCs w:val="24"/>
              </w:rPr>
              <w:t>0</w:t>
            </w:r>
          </w:p>
          <w:p w14:paraId="19E7D658">
            <w:pPr>
              <w:widowControl/>
              <w:adjustRightInd w:val="0"/>
              <w:snapToGrid w:val="0"/>
              <w:rPr>
                <w:kern w:val="0"/>
                <w:sz w:val="24"/>
                <w:szCs w:val="24"/>
              </w:rPr>
            </w:pPr>
            <w:r>
              <w:rPr>
                <w:rFonts w:hint="eastAsia"/>
                <w:kern w:val="0"/>
                <w:sz w:val="24"/>
                <w:szCs w:val="24"/>
              </w:rPr>
              <w:t>注：满足招标文件要求且投标报价最低的投标报价为评标基准价。</w:t>
            </w:r>
          </w:p>
        </w:tc>
        <w:tc>
          <w:tcPr>
            <w:tcW w:w="1143" w:type="dxa"/>
            <w:tcBorders>
              <w:top w:val="single" w:color="auto" w:sz="4" w:space="0"/>
              <w:left w:val="single" w:color="auto" w:sz="4" w:space="0"/>
              <w:bottom w:val="single" w:color="auto" w:sz="4" w:space="0"/>
              <w:right w:val="single" w:color="auto" w:sz="4" w:space="0"/>
            </w:tcBorders>
            <w:vAlign w:val="center"/>
          </w:tcPr>
          <w:p w14:paraId="0A9CA3E8">
            <w:pPr>
              <w:widowControl/>
              <w:adjustRightInd w:val="0"/>
              <w:snapToGrid w:val="0"/>
              <w:jc w:val="center"/>
              <w:rPr>
                <w:kern w:val="0"/>
                <w:sz w:val="24"/>
                <w:szCs w:val="24"/>
              </w:rPr>
            </w:pPr>
            <w:r>
              <w:rPr>
                <w:rFonts w:hint="eastAsia"/>
                <w:kern w:val="0"/>
                <w:sz w:val="24"/>
                <w:szCs w:val="24"/>
              </w:rPr>
              <w:t>1</w:t>
            </w:r>
            <w:r>
              <w:rPr>
                <w:kern w:val="0"/>
                <w:sz w:val="24"/>
                <w:szCs w:val="24"/>
              </w:rPr>
              <w:t>0</w:t>
            </w:r>
          </w:p>
        </w:tc>
      </w:tr>
      <w:tr w14:paraId="74BC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04B8FCB8">
            <w:pPr>
              <w:widowControl/>
              <w:adjustRightInd w:val="0"/>
              <w:snapToGrid w:val="0"/>
              <w:jc w:val="center"/>
              <w:rPr>
                <w:kern w:val="0"/>
                <w:sz w:val="24"/>
                <w:szCs w:val="24"/>
              </w:rPr>
            </w:pPr>
            <w:r>
              <w:rPr>
                <w:rFonts w:hint="eastAsia"/>
                <w:kern w:val="0"/>
                <w:sz w:val="24"/>
                <w:szCs w:val="24"/>
              </w:rPr>
              <w:t>第二部分</w:t>
            </w:r>
            <w:r>
              <w:rPr>
                <w:kern w:val="0"/>
                <w:sz w:val="24"/>
                <w:szCs w:val="24"/>
              </w:rPr>
              <w:t xml:space="preserve"> </w:t>
            </w:r>
            <w:r>
              <w:rPr>
                <w:rFonts w:hint="eastAsia"/>
                <w:kern w:val="0"/>
                <w:sz w:val="24"/>
                <w:szCs w:val="24"/>
              </w:rPr>
              <w:t>客观分（20分）</w:t>
            </w:r>
          </w:p>
        </w:tc>
        <w:tc>
          <w:tcPr>
            <w:tcW w:w="1143" w:type="dxa"/>
            <w:tcBorders>
              <w:top w:val="single" w:color="auto" w:sz="4" w:space="0"/>
              <w:left w:val="single" w:color="auto" w:sz="4" w:space="0"/>
              <w:bottom w:val="single" w:color="auto" w:sz="4" w:space="0"/>
              <w:right w:val="single" w:color="auto" w:sz="4" w:space="0"/>
            </w:tcBorders>
            <w:vAlign w:val="center"/>
          </w:tcPr>
          <w:p w14:paraId="73BE9A46">
            <w:pPr>
              <w:widowControl/>
              <w:adjustRightInd w:val="0"/>
              <w:snapToGrid w:val="0"/>
              <w:jc w:val="center"/>
              <w:rPr>
                <w:kern w:val="0"/>
                <w:sz w:val="24"/>
                <w:szCs w:val="24"/>
              </w:rPr>
            </w:pPr>
            <w:r>
              <w:rPr>
                <w:rFonts w:hint="eastAsia"/>
                <w:kern w:val="0"/>
                <w:sz w:val="24"/>
                <w:szCs w:val="24"/>
              </w:rPr>
              <w:t>分值</w:t>
            </w:r>
          </w:p>
        </w:tc>
      </w:tr>
      <w:tr w14:paraId="30519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11403D8F">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1D344790">
            <w:pPr>
              <w:widowControl/>
              <w:adjustRightInd w:val="0"/>
              <w:snapToGrid w:val="0"/>
              <w:jc w:val="center"/>
              <w:rPr>
                <w:kern w:val="0"/>
                <w:sz w:val="24"/>
                <w:szCs w:val="24"/>
              </w:rPr>
            </w:pPr>
            <w:r>
              <w:rPr>
                <w:rFonts w:hint="eastAsia"/>
                <w:kern w:val="0"/>
                <w:sz w:val="24"/>
                <w:szCs w:val="24"/>
              </w:rPr>
              <w:t>投标人业绩</w:t>
            </w:r>
          </w:p>
        </w:tc>
        <w:tc>
          <w:tcPr>
            <w:tcW w:w="7288" w:type="dxa"/>
            <w:tcBorders>
              <w:top w:val="single" w:color="auto" w:sz="4" w:space="0"/>
              <w:left w:val="single" w:color="auto" w:sz="4" w:space="0"/>
              <w:bottom w:val="single" w:color="auto" w:sz="4" w:space="0"/>
              <w:right w:val="single" w:color="auto" w:sz="4" w:space="0"/>
            </w:tcBorders>
            <w:vAlign w:val="center"/>
          </w:tcPr>
          <w:p w14:paraId="793570B5">
            <w:pPr>
              <w:widowControl/>
              <w:adjustRightInd w:val="0"/>
              <w:snapToGrid w:val="0"/>
              <w:rPr>
                <w:kern w:val="0"/>
                <w:sz w:val="24"/>
                <w:szCs w:val="24"/>
              </w:rPr>
            </w:pPr>
            <w:r>
              <w:rPr>
                <w:rFonts w:hint="eastAsia"/>
                <w:kern w:val="0"/>
                <w:sz w:val="24"/>
                <w:szCs w:val="24"/>
              </w:rPr>
              <w:t>完全按照以下要求提供投标人曾实施的软件运行维护业绩，提供的证明材料均不得遮挡涂黑，否则不予认定加分。</w:t>
            </w:r>
          </w:p>
          <w:p w14:paraId="1E41B591">
            <w:pPr>
              <w:widowControl/>
              <w:adjustRightInd w:val="0"/>
              <w:snapToGrid w:val="0"/>
              <w:rPr>
                <w:kern w:val="0"/>
                <w:sz w:val="24"/>
                <w:szCs w:val="24"/>
              </w:rPr>
            </w:pPr>
            <w:r>
              <w:rPr>
                <w:rFonts w:hint="eastAsia"/>
                <w:kern w:val="0"/>
                <w:sz w:val="24"/>
                <w:szCs w:val="24"/>
              </w:rPr>
              <w:t>A. 合同原件电子件。包括买卖双方名称及盖章、服务内容</w:t>
            </w:r>
            <w:r>
              <w:rPr>
                <w:rFonts w:hint="eastAsia"/>
                <w:bCs/>
                <w:sz w:val="24"/>
              </w:rPr>
              <w:t>、合同签订日期（应为2023年1月1日或以后）</w:t>
            </w:r>
            <w:r>
              <w:rPr>
                <w:rFonts w:hint="eastAsia"/>
                <w:kern w:val="0"/>
                <w:sz w:val="24"/>
                <w:szCs w:val="24"/>
              </w:rPr>
              <w:t>。</w:t>
            </w:r>
          </w:p>
          <w:p w14:paraId="6A9BEADD">
            <w:pPr>
              <w:widowControl/>
              <w:adjustRightInd w:val="0"/>
              <w:snapToGrid w:val="0"/>
              <w:rPr>
                <w:kern w:val="0"/>
                <w:sz w:val="24"/>
                <w:szCs w:val="24"/>
              </w:rPr>
            </w:pPr>
            <w:r>
              <w:rPr>
                <w:rFonts w:hint="eastAsia"/>
                <w:kern w:val="0"/>
                <w:sz w:val="24"/>
                <w:szCs w:val="24"/>
              </w:rPr>
              <w:t>B. 上述合同执行完毕且履行良好的相关证明材料，证明材料需提供原件电子件（加盖上述合同甲方单位公章或上述合同中所盖的甲方印章）。</w:t>
            </w:r>
          </w:p>
          <w:p w14:paraId="0EE5B899">
            <w:pPr>
              <w:widowControl/>
              <w:adjustRightInd w:val="0"/>
              <w:snapToGrid w:val="0"/>
              <w:rPr>
                <w:kern w:val="0"/>
                <w:sz w:val="24"/>
                <w:szCs w:val="24"/>
              </w:rPr>
            </w:pPr>
            <w:r>
              <w:rPr>
                <w:rFonts w:hint="eastAsia"/>
                <w:kern w:val="0"/>
                <w:sz w:val="24"/>
                <w:szCs w:val="24"/>
              </w:rPr>
              <w:t>每个业绩1分，最多5分</w:t>
            </w:r>
          </w:p>
        </w:tc>
        <w:tc>
          <w:tcPr>
            <w:tcW w:w="1143" w:type="dxa"/>
            <w:tcBorders>
              <w:top w:val="single" w:color="auto" w:sz="4" w:space="0"/>
              <w:left w:val="single" w:color="auto" w:sz="4" w:space="0"/>
              <w:bottom w:val="single" w:color="auto" w:sz="4" w:space="0"/>
              <w:right w:val="single" w:color="auto" w:sz="4" w:space="0"/>
            </w:tcBorders>
            <w:vAlign w:val="center"/>
          </w:tcPr>
          <w:p w14:paraId="3AE381CB">
            <w:pPr>
              <w:widowControl/>
              <w:adjustRightInd w:val="0"/>
              <w:snapToGrid w:val="0"/>
              <w:jc w:val="center"/>
              <w:rPr>
                <w:kern w:val="0"/>
                <w:sz w:val="24"/>
                <w:szCs w:val="24"/>
              </w:rPr>
            </w:pPr>
            <w:r>
              <w:rPr>
                <w:rFonts w:hint="eastAsia"/>
                <w:kern w:val="0"/>
                <w:sz w:val="24"/>
                <w:szCs w:val="24"/>
              </w:rPr>
              <w:t>5</w:t>
            </w:r>
          </w:p>
        </w:tc>
      </w:tr>
      <w:tr w14:paraId="70FE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08EF9CE1">
            <w:pPr>
              <w:widowControl/>
              <w:adjustRightInd w:val="0"/>
              <w:snapToGrid w:val="0"/>
              <w:jc w:val="center"/>
              <w:rPr>
                <w:kern w:val="0"/>
                <w:sz w:val="24"/>
                <w:szCs w:val="24"/>
              </w:rPr>
            </w:pPr>
            <w:r>
              <w:rPr>
                <w:rFonts w:hint="eastAsia"/>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14:paraId="0543DBFC">
            <w:pPr>
              <w:widowControl/>
              <w:adjustRightInd w:val="0"/>
              <w:snapToGrid w:val="0"/>
              <w:jc w:val="center"/>
              <w:rPr>
                <w:sz w:val="24"/>
              </w:rPr>
            </w:pPr>
            <w:r>
              <w:rPr>
                <w:rFonts w:hint="eastAsia"/>
                <w:sz w:val="24"/>
              </w:rPr>
              <w:t>投标人承诺评价</w:t>
            </w:r>
          </w:p>
        </w:tc>
        <w:tc>
          <w:tcPr>
            <w:tcW w:w="7288" w:type="dxa"/>
            <w:tcBorders>
              <w:top w:val="single" w:color="auto" w:sz="4" w:space="0"/>
              <w:left w:val="single" w:color="auto" w:sz="4" w:space="0"/>
              <w:bottom w:val="single" w:color="auto" w:sz="4" w:space="0"/>
              <w:right w:val="single" w:color="auto" w:sz="4" w:space="0"/>
            </w:tcBorders>
            <w:vAlign w:val="center"/>
          </w:tcPr>
          <w:p w14:paraId="45283031">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承诺完全满足招标文件“报价要求”、“时间地点要求”、“付款方式要求”和技术要求中非“★”号要求的：15分，其他0分。</w:t>
            </w:r>
          </w:p>
        </w:tc>
        <w:tc>
          <w:tcPr>
            <w:tcW w:w="1143" w:type="dxa"/>
            <w:tcBorders>
              <w:top w:val="single" w:color="auto" w:sz="4" w:space="0"/>
              <w:left w:val="single" w:color="auto" w:sz="4" w:space="0"/>
              <w:bottom w:val="single" w:color="auto" w:sz="4" w:space="0"/>
              <w:right w:val="single" w:color="auto" w:sz="4" w:space="0"/>
            </w:tcBorders>
            <w:vAlign w:val="center"/>
          </w:tcPr>
          <w:p w14:paraId="43CE1B62">
            <w:pPr>
              <w:widowControl/>
              <w:adjustRightInd w:val="0"/>
              <w:snapToGrid w:val="0"/>
              <w:jc w:val="center"/>
              <w:rPr>
                <w:kern w:val="0"/>
                <w:sz w:val="24"/>
                <w:szCs w:val="24"/>
              </w:rPr>
            </w:pPr>
            <w:r>
              <w:rPr>
                <w:rFonts w:hint="eastAsia"/>
                <w:kern w:val="0"/>
                <w:sz w:val="24"/>
                <w:szCs w:val="24"/>
              </w:rPr>
              <w:t>15</w:t>
            </w:r>
          </w:p>
        </w:tc>
      </w:tr>
      <w:tr w14:paraId="5466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4B2B3DD9">
            <w:pPr>
              <w:widowControl/>
              <w:adjustRightInd w:val="0"/>
              <w:snapToGrid w:val="0"/>
              <w:jc w:val="center"/>
              <w:rPr>
                <w:kern w:val="0"/>
                <w:sz w:val="24"/>
                <w:szCs w:val="24"/>
              </w:rPr>
            </w:pPr>
            <w:r>
              <w:rPr>
                <w:rFonts w:hint="eastAsia"/>
                <w:kern w:val="0"/>
                <w:sz w:val="24"/>
                <w:szCs w:val="24"/>
              </w:rPr>
              <w:t>第三部分</w:t>
            </w:r>
            <w:r>
              <w:rPr>
                <w:kern w:val="0"/>
                <w:sz w:val="24"/>
                <w:szCs w:val="24"/>
              </w:rPr>
              <w:t xml:space="preserve"> </w:t>
            </w:r>
            <w:r>
              <w:rPr>
                <w:rFonts w:hint="eastAsia"/>
                <w:kern w:val="0"/>
                <w:sz w:val="24"/>
                <w:szCs w:val="24"/>
              </w:rPr>
              <w:t>主观分（</w:t>
            </w:r>
            <w:r>
              <w:rPr>
                <w:kern w:val="0"/>
                <w:sz w:val="24"/>
                <w:szCs w:val="24"/>
              </w:rPr>
              <w:t>7</w:t>
            </w:r>
            <w:r>
              <w:rPr>
                <w:rFonts w:hint="eastAsia"/>
                <w:kern w:val="0"/>
                <w:sz w:val="24"/>
                <w:szCs w:val="24"/>
              </w:rPr>
              <w:t>0分）</w:t>
            </w:r>
          </w:p>
        </w:tc>
        <w:tc>
          <w:tcPr>
            <w:tcW w:w="1143" w:type="dxa"/>
            <w:tcBorders>
              <w:top w:val="single" w:color="auto" w:sz="4" w:space="0"/>
              <w:left w:val="single" w:color="auto" w:sz="4" w:space="0"/>
              <w:bottom w:val="single" w:color="auto" w:sz="4" w:space="0"/>
              <w:right w:val="single" w:color="auto" w:sz="4" w:space="0"/>
            </w:tcBorders>
            <w:vAlign w:val="center"/>
          </w:tcPr>
          <w:p w14:paraId="02D459B5">
            <w:pPr>
              <w:widowControl/>
              <w:adjustRightInd w:val="0"/>
              <w:snapToGrid w:val="0"/>
              <w:jc w:val="center"/>
              <w:rPr>
                <w:kern w:val="0"/>
                <w:sz w:val="24"/>
                <w:szCs w:val="24"/>
              </w:rPr>
            </w:pPr>
            <w:r>
              <w:rPr>
                <w:rFonts w:hint="eastAsia"/>
                <w:kern w:val="0"/>
                <w:sz w:val="24"/>
                <w:szCs w:val="24"/>
              </w:rPr>
              <w:t>分值</w:t>
            </w:r>
          </w:p>
        </w:tc>
      </w:tr>
      <w:tr w14:paraId="7424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12FF0310">
            <w:pPr>
              <w:widowControl/>
              <w:adjustRightInd w:val="0"/>
              <w:snapToGrid w:val="0"/>
              <w:jc w:val="center"/>
              <w:rPr>
                <w:kern w:val="0"/>
                <w:sz w:val="24"/>
                <w:szCs w:val="24"/>
              </w:rPr>
            </w:pPr>
            <w:r>
              <w:rPr>
                <w:rFonts w:hint="eastAsia"/>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0596DAAF">
            <w:pPr>
              <w:widowControl/>
              <w:adjustRightInd w:val="0"/>
              <w:snapToGrid w:val="0"/>
              <w:jc w:val="center"/>
              <w:rPr>
                <w:kern w:val="0"/>
                <w:sz w:val="24"/>
                <w:szCs w:val="24"/>
              </w:rPr>
            </w:pPr>
            <w:r>
              <w:rPr>
                <w:rFonts w:hint="eastAsia"/>
                <w:kern w:val="0"/>
                <w:sz w:val="24"/>
                <w:szCs w:val="24"/>
              </w:rPr>
              <w:t>项目需求理解分析评价</w:t>
            </w:r>
          </w:p>
        </w:tc>
        <w:tc>
          <w:tcPr>
            <w:tcW w:w="7288" w:type="dxa"/>
            <w:tcBorders>
              <w:top w:val="single" w:color="auto" w:sz="4" w:space="0"/>
              <w:left w:val="single" w:color="auto" w:sz="4" w:space="0"/>
              <w:bottom w:val="single" w:color="auto" w:sz="4" w:space="0"/>
              <w:right w:val="single" w:color="auto" w:sz="4" w:space="0"/>
            </w:tcBorders>
            <w:vAlign w:val="center"/>
          </w:tcPr>
          <w:p w14:paraId="6D6E94C9">
            <w:pPr>
              <w:widowControl/>
              <w:adjustRightInd w:val="0"/>
              <w:snapToGrid w:val="0"/>
              <w:rPr>
                <w:kern w:val="0"/>
                <w:sz w:val="24"/>
                <w:szCs w:val="24"/>
              </w:rPr>
            </w:pPr>
            <w:r>
              <w:rPr>
                <w:rFonts w:hint="eastAsia"/>
                <w:kern w:val="0"/>
                <w:sz w:val="24"/>
                <w:szCs w:val="24"/>
              </w:rPr>
              <w:t>至少包含项目建设背景、目标需求（包括数据需求、功能需求、业务需求、对接需求）和现状情况（包括机构情况、角色情况、业务管理情况、现有系统情况等）的理解和分析</w:t>
            </w:r>
          </w:p>
          <w:p w14:paraId="35B533AF">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B76152A">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18193FD9">
            <w:pPr>
              <w:widowControl/>
              <w:adjustRightInd w:val="0"/>
              <w:snapToGrid w:val="0"/>
              <w:jc w:val="center"/>
              <w:rPr>
                <w:kern w:val="0"/>
                <w:sz w:val="24"/>
                <w:szCs w:val="24"/>
              </w:rPr>
            </w:pPr>
            <w:r>
              <w:rPr>
                <w:rFonts w:hint="eastAsia"/>
                <w:kern w:val="0"/>
                <w:sz w:val="24"/>
                <w:szCs w:val="24"/>
              </w:rPr>
              <w:t>10</w:t>
            </w:r>
          </w:p>
        </w:tc>
      </w:tr>
      <w:tr w14:paraId="00CDD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3B547092">
            <w:pPr>
              <w:widowControl/>
              <w:adjustRightInd w:val="0"/>
              <w:snapToGrid w:val="0"/>
              <w:jc w:val="center"/>
              <w:rPr>
                <w:kern w:val="0"/>
                <w:sz w:val="24"/>
                <w:szCs w:val="24"/>
              </w:rPr>
            </w:pPr>
            <w:r>
              <w:rPr>
                <w:rFonts w:hint="eastAsia"/>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14:paraId="39288D6D">
            <w:pPr>
              <w:widowControl/>
              <w:adjustRightInd w:val="0"/>
              <w:snapToGrid w:val="0"/>
              <w:jc w:val="center"/>
              <w:rPr>
                <w:kern w:val="0"/>
                <w:sz w:val="24"/>
                <w:szCs w:val="24"/>
              </w:rPr>
            </w:pPr>
            <w:r>
              <w:rPr>
                <w:rFonts w:hint="eastAsia"/>
                <w:kern w:val="0"/>
                <w:sz w:val="24"/>
                <w:szCs w:val="24"/>
              </w:rPr>
              <w:t>运行维护方案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14:paraId="282317B5">
            <w:pPr>
              <w:adjustRightInd w:val="0"/>
              <w:snapToGrid w:val="0"/>
              <w:rPr>
                <w:rFonts w:cs="宋体"/>
                <w:sz w:val="24"/>
                <w:szCs w:val="24"/>
                <w:lang w:val="zh-CN"/>
              </w:rPr>
            </w:pPr>
            <w:r>
              <w:rPr>
                <w:rFonts w:hint="eastAsia" w:cs="宋体"/>
                <w:sz w:val="24"/>
                <w:szCs w:val="24"/>
                <w:lang w:val="zh-CN"/>
              </w:rPr>
              <w:t>至少包含</w:t>
            </w:r>
            <w:r>
              <w:rPr>
                <w:rFonts w:hint="eastAsia"/>
                <w:kern w:val="0"/>
                <w:sz w:val="24"/>
                <w:szCs w:val="24"/>
              </w:rPr>
              <w:t>运维计划，确保本系统稳定运行并满足业务和技术需求；运维管理办法，确保运维流程的统一性和规范性；基础运维制度，为日常运维工作提供明确的指导和规范；问题的快速响应和处理机制，确保在关键时期能够迅速解决问题；详细的应急预案，以应对可能出现的各种紧急情况，保障系统的连续性和业务的不中断等方面内容</w:t>
            </w:r>
          </w:p>
          <w:p w14:paraId="680C3BD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5785D92">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1E4B7D56">
            <w:pPr>
              <w:widowControl/>
              <w:adjustRightInd w:val="0"/>
              <w:snapToGrid w:val="0"/>
              <w:jc w:val="center"/>
              <w:rPr>
                <w:kern w:val="0"/>
                <w:sz w:val="24"/>
                <w:szCs w:val="24"/>
              </w:rPr>
            </w:pPr>
            <w:r>
              <w:rPr>
                <w:rFonts w:hint="eastAsia"/>
                <w:kern w:val="0"/>
                <w:sz w:val="24"/>
                <w:szCs w:val="24"/>
              </w:rPr>
              <w:t>10</w:t>
            </w:r>
          </w:p>
        </w:tc>
      </w:tr>
      <w:tr w14:paraId="6669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66FDCCF7">
            <w:pPr>
              <w:widowControl/>
              <w:adjustRightInd w:val="0"/>
              <w:snapToGrid w:val="0"/>
              <w:jc w:val="center"/>
              <w:rPr>
                <w:kern w:val="0"/>
                <w:sz w:val="24"/>
                <w:szCs w:val="24"/>
              </w:rPr>
            </w:pPr>
            <w:r>
              <w:rPr>
                <w:rFonts w:hint="eastAsia"/>
                <w:kern w:val="0"/>
                <w:sz w:val="24"/>
                <w:szCs w:val="24"/>
              </w:rPr>
              <w:t>3</w:t>
            </w:r>
          </w:p>
        </w:tc>
        <w:tc>
          <w:tcPr>
            <w:tcW w:w="1442" w:type="dxa"/>
            <w:tcBorders>
              <w:top w:val="single" w:color="auto" w:sz="4" w:space="0"/>
              <w:left w:val="single" w:color="auto" w:sz="4" w:space="0"/>
              <w:bottom w:val="single" w:color="auto" w:sz="4" w:space="0"/>
              <w:right w:val="single" w:color="auto" w:sz="4" w:space="0"/>
            </w:tcBorders>
            <w:vAlign w:val="center"/>
          </w:tcPr>
          <w:p w14:paraId="6C904D27">
            <w:pPr>
              <w:widowControl/>
              <w:adjustRightInd w:val="0"/>
              <w:snapToGrid w:val="0"/>
              <w:jc w:val="center"/>
              <w:rPr>
                <w:kern w:val="0"/>
                <w:sz w:val="24"/>
                <w:szCs w:val="24"/>
              </w:rPr>
            </w:pPr>
            <w:r>
              <w:rPr>
                <w:rFonts w:hint="eastAsia"/>
                <w:kern w:val="0"/>
                <w:sz w:val="24"/>
                <w:szCs w:val="24"/>
              </w:rPr>
              <w:t>管理实施方案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14:paraId="0E8AF0F3">
            <w:pPr>
              <w:adjustRightInd w:val="0"/>
              <w:snapToGrid w:val="0"/>
              <w:rPr>
                <w:rFonts w:cs="宋体"/>
                <w:sz w:val="24"/>
                <w:szCs w:val="24"/>
                <w:lang w:val="zh-CN"/>
              </w:rPr>
            </w:pPr>
            <w:r>
              <w:rPr>
                <w:rFonts w:hint="eastAsia" w:cs="宋体"/>
                <w:sz w:val="24"/>
                <w:szCs w:val="24"/>
                <w:lang w:val="zh-CN"/>
              </w:rPr>
              <w:t>至少包含</w:t>
            </w:r>
            <w:r>
              <w:rPr>
                <w:rFonts w:hint="eastAsia"/>
                <w:kern w:val="0"/>
                <w:sz w:val="24"/>
                <w:szCs w:val="24"/>
              </w:rPr>
              <w:t>组织管理、进度管理、范围管理以及项目实施过程中的实施管理、质量管理、资源管理、日常运行管理等内容</w:t>
            </w:r>
          </w:p>
          <w:p w14:paraId="5ACD5869">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6F533427">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26A08A3D">
            <w:pPr>
              <w:widowControl/>
              <w:adjustRightInd w:val="0"/>
              <w:snapToGrid w:val="0"/>
              <w:jc w:val="center"/>
              <w:rPr>
                <w:kern w:val="0"/>
                <w:sz w:val="24"/>
                <w:szCs w:val="24"/>
              </w:rPr>
            </w:pPr>
            <w:r>
              <w:rPr>
                <w:rFonts w:hint="eastAsia"/>
                <w:kern w:val="0"/>
                <w:sz w:val="24"/>
                <w:szCs w:val="24"/>
              </w:rPr>
              <w:t>10</w:t>
            </w:r>
          </w:p>
        </w:tc>
      </w:tr>
      <w:tr w14:paraId="65CE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071151C4">
            <w:pPr>
              <w:widowControl/>
              <w:adjustRightInd w:val="0"/>
              <w:snapToGrid w:val="0"/>
              <w:jc w:val="center"/>
              <w:rPr>
                <w:kern w:val="0"/>
                <w:sz w:val="24"/>
                <w:szCs w:val="24"/>
              </w:rPr>
            </w:pPr>
            <w:r>
              <w:rPr>
                <w:rFonts w:hint="eastAsia"/>
                <w:kern w:val="0"/>
                <w:sz w:val="24"/>
                <w:szCs w:val="24"/>
              </w:rPr>
              <w:t>4</w:t>
            </w:r>
          </w:p>
        </w:tc>
        <w:tc>
          <w:tcPr>
            <w:tcW w:w="1442" w:type="dxa"/>
            <w:tcBorders>
              <w:top w:val="single" w:color="auto" w:sz="4" w:space="0"/>
              <w:left w:val="single" w:color="auto" w:sz="4" w:space="0"/>
              <w:bottom w:val="single" w:color="auto" w:sz="4" w:space="0"/>
              <w:right w:val="single" w:color="auto" w:sz="4" w:space="0"/>
            </w:tcBorders>
            <w:vAlign w:val="center"/>
          </w:tcPr>
          <w:p w14:paraId="3A35FF44">
            <w:pPr>
              <w:widowControl/>
              <w:adjustRightInd w:val="0"/>
              <w:snapToGrid w:val="0"/>
              <w:jc w:val="center"/>
              <w:rPr>
                <w:kern w:val="0"/>
                <w:sz w:val="24"/>
                <w:szCs w:val="24"/>
              </w:rPr>
            </w:pPr>
            <w:r>
              <w:rPr>
                <w:rFonts w:hint="eastAsia"/>
                <w:kern w:val="0"/>
                <w:sz w:val="24"/>
                <w:szCs w:val="24"/>
              </w:rPr>
              <w:t>保密</w:t>
            </w:r>
            <w:r>
              <w:rPr>
                <w:kern w:val="0"/>
                <w:sz w:val="24"/>
                <w:szCs w:val="24"/>
              </w:rPr>
              <w:t>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6688F21B">
            <w:pPr>
              <w:adjustRightInd w:val="0"/>
              <w:snapToGrid w:val="0"/>
              <w:rPr>
                <w:rFonts w:cs="宋体"/>
                <w:sz w:val="24"/>
                <w:szCs w:val="24"/>
                <w:lang w:val="zh-CN"/>
              </w:rPr>
            </w:pPr>
            <w:r>
              <w:rPr>
                <w:rFonts w:hint="eastAsia" w:cs="宋体"/>
                <w:sz w:val="24"/>
                <w:szCs w:val="24"/>
                <w:lang w:val="zh-CN"/>
              </w:rPr>
              <w:t>至少包含保证服务过程中有可能获取的保密信息不泄露的措施：制定保密制度、服务人员保密培训、重点岗位双人服务、泄密惩罚办法</w:t>
            </w:r>
          </w:p>
          <w:p w14:paraId="3A91B7C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F65448F">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709A144E">
            <w:pPr>
              <w:widowControl/>
              <w:adjustRightInd w:val="0"/>
              <w:snapToGrid w:val="0"/>
              <w:jc w:val="center"/>
              <w:rPr>
                <w:kern w:val="0"/>
                <w:sz w:val="24"/>
                <w:szCs w:val="24"/>
              </w:rPr>
            </w:pPr>
            <w:r>
              <w:rPr>
                <w:rFonts w:hint="eastAsia"/>
                <w:kern w:val="0"/>
                <w:sz w:val="24"/>
                <w:szCs w:val="24"/>
              </w:rPr>
              <w:t>10</w:t>
            </w:r>
          </w:p>
        </w:tc>
      </w:tr>
      <w:tr w14:paraId="7FFE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57AAEB36">
            <w:pPr>
              <w:widowControl/>
              <w:adjustRightInd w:val="0"/>
              <w:snapToGrid w:val="0"/>
              <w:jc w:val="center"/>
              <w:rPr>
                <w:kern w:val="0"/>
                <w:sz w:val="24"/>
                <w:szCs w:val="24"/>
              </w:rPr>
            </w:pPr>
            <w:r>
              <w:rPr>
                <w:rFonts w:hint="eastAsia"/>
                <w:kern w:val="0"/>
                <w:sz w:val="24"/>
                <w:szCs w:val="24"/>
              </w:rPr>
              <w:t>5</w:t>
            </w:r>
          </w:p>
        </w:tc>
        <w:tc>
          <w:tcPr>
            <w:tcW w:w="1442" w:type="dxa"/>
            <w:tcBorders>
              <w:top w:val="single" w:color="auto" w:sz="4" w:space="0"/>
              <w:left w:val="single" w:color="auto" w:sz="4" w:space="0"/>
              <w:bottom w:val="single" w:color="auto" w:sz="4" w:space="0"/>
              <w:right w:val="single" w:color="auto" w:sz="4" w:space="0"/>
            </w:tcBorders>
            <w:vAlign w:val="center"/>
          </w:tcPr>
          <w:p w14:paraId="106FA2B8">
            <w:pPr>
              <w:widowControl/>
              <w:adjustRightInd w:val="0"/>
              <w:snapToGrid w:val="0"/>
              <w:jc w:val="center"/>
              <w:rPr>
                <w:kern w:val="0"/>
                <w:sz w:val="24"/>
                <w:szCs w:val="24"/>
              </w:rPr>
            </w:pPr>
            <w:r>
              <w:rPr>
                <w:rFonts w:hint="eastAsia"/>
                <w:kern w:val="0"/>
                <w:sz w:val="24"/>
                <w:szCs w:val="24"/>
              </w:rPr>
              <w:t>知识转移方案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14:paraId="4D161C63">
            <w:pPr>
              <w:adjustRightInd w:val="0"/>
              <w:snapToGrid w:val="0"/>
              <w:rPr>
                <w:rFonts w:cs="宋体"/>
                <w:sz w:val="24"/>
                <w:szCs w:val="24"/>
                <w:lang w:val="zh-CN"/>
              </w:rPr>
            </w:pPr>
            <w:r>
              <w:rPr>
                <w:rFonts w:hint="eastAsia" w:cs="宋体"/>
                <w:sz w:val="24"/>
                <w:szCs w:val="24"/>
                <w:lang w:val="zh-CN"/>
              </w:rPr>
              <w:t>至少包含转移内容、转移形式、转移要求等方面内容</w:t>
            </w:r>
          </w:p>
          <w:p w14:paraId="352E05E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16FFCBF4">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65706A60">
            <w:pPr>
              <w:widowControl/>
              <w:adjustRightInd w:val="0"/>
              <w:snapToGrid w:val="0"/>
              <w:jc w:val="center"/>
              <w:rPr>
                <w:kern w:val="0"/>
                <w:sz w:val="24"/>
                <w:szCs w:val="24"/>
              </w:rPr>
            </w:pPr>
            <w:r>
              <w:rPr>
                <w:rFonts w:hint="eastAsia"/>
                <w:kern w:val="0"/>
                <w:sz w:val="24"/>
                <w:szCs w:val="24"/>
              </w:rPr>
              <w:t>10</w:t>
            </w:r>
          </w:p>
        </w:tc>
      </w:tr>
      <w:tr w14:paraId="3DB1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348EA10F">
            <w:pPr>
              <w:widowControl/>
              <w:adjustRightInd w:val="0"/>
              <w:snapToGrid w:val="0"/>
              <w:jc w:val="center"/>
              <w:rPr>
                <w:kern w:val="0"/>
                <w:sz w:val="24"/>
                <w:szCs w:val="24"/>
              </w:rPr>
            </w:pPr>
            <w:r>
              <w:rPr>
                <w:rFonts w:hint="eastAsia"/>
                <w:kern w:val="0"/>
                <w:sz w:val="24"/>
                <w:szCs w:val="24"/>
              </w:rPr>
              <w:t>6</w:t>
            </w:r>
          </w:p>
        </w:tc>
        <w:tc>
          <w:tcPr>
            <w:tcW w:w="1442" w:type="dxa"/>
            <w:tcBorders>
              <w:top w:val="single" w:color="auto" w:sz="4" w:space="0"/>
              <w:left w:val="single" w:color="auto" w:sz="4" w:space="0"/>
              <w:bottom w:val="single" w:color="auto" w:sz="4" w:space="0"/>
              <w:right w:val="single" w:color="auto" w:sz="4" w:space="0"/>
            </w:tcBorders>
            <w:vAlign w:val="center"/>
          </w:tcPr>
          <w:p w14:paraId="540D88AA">
            <w:pPr>
              <w:widowControl/>
              <w:adjustRightInd w:val="0"/>
              <w:snapToGrid w:val="0"/>
              <w:jc w:val="center"/>
              <w:rPr>
                <w:kern w:val="0"/>
                <w:sz w:val="24"/>
                <w:szCs w:val="24"/>
              </w:rPr>
            </w:pPr>
            <w:r>
              <w:rPr>
                <w:rFonts w:hint="eastAsia"/>
                <w:kern w:val="0"/>
                <w:sz w:val="24"/>
                <w:szCs w:val="24"/>
              </w:rPr>
              <w:t>风险管控方案</w:t>
            </w:r>
            <w:r>
              <w:rPr>
                <w:kern w:val="0"/>
                <w:sz w:val="24"/>
                <w:szCs w:val="24"/>
              </w:rPr>
              <w:t>评价</w:t>
            </w:r>
          </w:p>
        </w:tc>
        <w:tc>
          <w:tcPr>
            <w:tcW w:w="7288" w:type="dxa"/>
            <w:tcBorders>
              <w:top w:val="single" w:color="auto" w:sz="4" w:space="0"/>
              <w:left w:val="single" w:color="auto" w:sz="4" w:space="0"/>
              <w:bottom w:val="single" w:color="auto" w:sz="4" w:space="0"/>
              <w:right w:val="single" w:color="auto" w:sz="4" w:space="0"/>
            </w:tcBorders>
            <w:vAlign w:val="center"/>
          </w:tcPr>
          <w:p w14:paraId="66520BCB">
            <w:pPr>
              <w:adjustRightInd w:val="0"/>
              <w:snapToGrid w:val="0"/>
              <w:rPr>
                <w:rFonts w:cs="宋体"/>
                <w:sz w:val="24"/>
                <w:szCs w:val="24"/>
                <w:lang w:val="zh-CN"/>
              </w:rPr>
            </w:pPr>
            <w:r>
              <w:rPr>
                <w:rFonts w:hint="eastAsia" w:cs="宋体"/>
                <w:sz w:val="24"/>
                <w:szCs w:val="24"/>
                <w:lang w:val="zh-CN"/>
              </w:rPr>
              <w:t>至少包含业务风险、人员风险、进度风险等。基于风险评估结果，制定针对性的风险应对策略，持续监控风险状况，并根据实际情况及时完善风险应对策略，确保项目目标顺利实现</w:t>
            </w:r>
          </w:p>
          <w:p w14:paraId="57C2812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2585203">
            <w:pPr>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14B58DEA">
            <w:pPr>
              <w:widowControl/>
              <w:adjustRightInd w:val="0"/>
              <w:snapToGrid w:val="0"/>
              <w:jc w:val="center"/>
              <w:rPr>
                <w:kern w:val="0"/>
                <w:sz w:val="24"/>
                <w:szCs w:val="24"/>
              </w:rPr>
            </w:pPr>
            <w:r>
              <w:rPr>
                <w:rFonts w:hint="eastAsia"/>
                <w:kern w:val="0"/>
                <w:sz w:val="24"/>
                <w:szCs w:val="24"/>
              </w:rPr>
              <w:t>10</w:t>
            </w:r>
          </w:p>
        </w:tc>
      </w:tr>
      <w:tr w14:paraId="30CE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tcBorders>
              <w:top w:val="single" w:color="auto" w:sz="4" w:space="0"/>
              <w:left w:val="single" w:color="auto" w:sz="4" w:space="0"/>
              <w:bottom w:val="single" w:color="auto" w:sz="4" w:space="0"/>
              <w:right w:val="single" w:color="auto" w:sz="4" w:space="0"/>
            </w:tcBorders>
            <w:noWrap/>
            <w:vAlign w:val="center"/>
          </w:tcPr>
          <w:p w14:paraId="27704F8E">
            <w:pPr>
              <w:widowControl/>
              <w:adjustRightInd w:val="0"/>
              <w:snapToGrid w:val="0"/>
              <w:jc w:val="center"/>
              <w:rPr>
                <w:kern w:val="0"/>
                <w:sz w:val="24"/>
                <w:szCs w:val="24"/>
              </w:rPr>
            </w:pPr>
            <w:r>
              <w:rPr>
                <w:rFonts w:hint="eastAsia"/>
                <w:kern w:val="0"/>
                <w:sz w:val="24"/>
                <w:szCs w:val="24"/>
              </w:rPr>
              <w:t>7</w:t>
            </w:r>
          </w:p>
        </w:tc>
        <w:tc>
          <w:tcPr>
            <w:tcW w:w="1442" w:type="dxa"/>
            <w:tcBorders>
              <w:top w:val="single" w:color="auto" w:sz="4" w:space="0"/>
              <w:left w:val="single" w:color="auto" w:sz="4" w:space="0"/>
              <w:bottom w:val="single" w:color="auto" w:sz="4" w:space="0"/>
              <w:right w:val="single" w:color="auto" w:sz="4" w:space="0"/>
            </w:tcBorders>
            <w:vAlign w:val="center"/>
          </w:tcPr>
          <w:p w14:paraId="1BECC260">
            <w:pPr>
              <w:widowControl/>
              <w:adjustRightInd w:val="0"/>
              <w:snapToGrid w:val="0"/>
              <w:jc w:val="center"/>
              <w:rPr>
                <w:kern w:val="0"/>
                <w:sz w:val="24"/>
                <w:szCs w:val="24"/>
              </w:rPr>
            </w:pPr>
            <w:r>
              <w:rPr>
                <w:sz w:val="24"/>
              </w:rPr>
              <w:t>配合验收方案评价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5A94E33F">
            <w:pPr>
              <w:adjustRightInd w:val="0"/>
              <w:snapToGrid w:val="0"/>
              <w:rPr>
                <w:kern w:val="0"/>
                <w:sz w:val="24"/>
                <w:szCs w:val="24"/>
              </w:rPr>
            </w:pPr>
            <w:r>
              <w:rPr>
                <w:rFonts w:hint="eastAsia" w:cs="宋体"/>
                <w:sz w:val="24"/>
                <w:szCs w:val="24"/>
                <w:lang w:val="zh-CN"/>
              </w:rPr>
              <w:t>至少包含</w:t>
            </w:r>
            <w:r>
              <w:rPr>
                <w:rFonts w:hint="eastAsia"/>
                <w:kern w:val="0"/>
                <w:sz w:val="24"/>
                <w:szCs w:val="24"/>
              </w:rPr>
              <w:t>对合同规定的各项验收指标，提出明确的验收前提条件和验收依据及标准，列明需要移交和交付的各类文档及产出物。对验收中可能发现的问题，供应商应提出有效解决办法和补救措施等内容</w:t>
            </w:r>
          </w:p>
          <w:p w14:paraId="732A7015">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89DDBAE">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5D8D2AEF">
            <w:pPr>
              <w:widowControl/>
              <w:adjustRightInd w:val="0"/>
              <w:snapToGrid w:val="0"/>
              <w:jc w:val="center"/>
              <w:rPr>
                <w:kern w:val="0"/>
                <w:sz w:val="24"/>
                <w:szCs w:val="24"/>
              </w:rPr>
            </w:pPr>
            <w:r>
              <w:rPr>
                <w:rFonts w:hint="eastAsia"/>
                <w:kern w:val="0"/>
                <w:sz w:val="24"/>
                <w:szCs w:val="24"/>
              </w:rPr>
              <w:t>10</w:t>
            </w:r>
          </w:p>
        </w:tc>
      </w:tr>
      <w:tr w14:paraId="4C61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tcBorders>
              <w:top w:val="single" w:color="auto" w:sz="4" w:space="0"/>
              <w:left w:val="single" w:color="auto" w:sz="4" w:space="0"/>
              <w:bottom w:val="single" w:color="auto" w:sz="4" w:space="0"/>
              <w:right w:val="single" w:color="auto" w:sz="4" w:space="0"/>
            </w:tcBorders>
            <w:noWrap/>
            <w:vAlign w:val="center"/>
          </w:tcPr>
          <w:p w14:paraId="4121106A">
            <w:pPr>
              <w:widowControl/>
              <w:adjustRightInd w:val="0"/>
              <w:snapToGrid w:val="0"/>
              <w:jc w:val="center"/>
              <w:rPr>
                <w:sz w:val="24"/>
              </w:rPr>
            </w:pPr>
            <w:r>
              <w:rPr>
                <w:rFonts w:hint="eastAsia"/>
                <w:sz w:val="24"/>
              </w:rPr>
              <w:t>合计</w:t>
            </w:r>
          </w:p>
        </w:tc>
        <w:tc>
          <w:tcPr>
            <w:tcW w:w="1143" w:type="dxa"/>
            <w:tcBorders>
              <w:top w:val="single" w:color="auto" w:sz="4" w:space="0"/>
              <w:left w:val="single" w:color="auto" w:sz="4" w:space="0"/>
              <w:bottom w:val="single" w:color="auto" w:sz="4" w:space="0"/>
              <w:right w:val="single" w:color="auto" w:sz="4" w:space="0"/>
            </w:tcBorders>
            <w:vAlign w:val="center"/>
          </w:tcPr>
          <w:p w14:paraId="5EA5DE2E">
            <w:pPr>
              <w:widowControl/>
              <w:adjustRightInd w:val="0"/>
              <w:snapToGrid w:val="0"/>
              <w:jc w:val="center"/>
              <w:rPr>
                <w:kern w:val="0"/>
                <w:sz w:val="24"/>
                <w:szCs w:val="24"/>
              </w:rPr>
            </w:pPr>
            <w:r>
              <w:rPr>
                <w:kern w:val="0"/>
                <w:sz w:val="24"/>
                <w:szCs w:val="24"/>
              </w:rPr>
              <w:t>100</w:t>
            </w:r>
          </w:p>
        </w:tc>
      </w:tr>
    </w:tbl>
    <w:p w14:paraId="4FCDBECB">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648079D3">
      <w:pPr>
        <w:widowControl/>
        <w:jc w:val="left"/>
        <w:rPr>
          <w:sz w:val="24"/>
        </w:rPr>
      </w:pPr>
      <w:r>
        <w:rPr>
          <w:sz w:val="24"/>
        </w:rPr>
        <w:br w:type="page"/>
      </w:r>
    </w:p>
    <w:p w14:paraId="44B026FE">
      <w:pPr>
        <w:spacing w:line="360" w:lineRule="auto"/>
        <w:ind w:firstLine="448" w:firstLineChars="200"/>
        <w:jc w:val="center"/>
        <w:outlineLvl w:val="0"/>
        <w:rPr>
          <w:b/>
          <w:sz w:val="24"/>
        </w:rPr>
      </w:pPr>
      <w:r>
        <w:rPr>
          <w:rFonts w:hint="eastAsia"/>
          <w:b/>
          <w:sz w:val="24"/>
        </w:rPr>
        <w:t>项目需求书</w:t>
      </w:r>
    </w:p>
    <w:p w14:paraId="7F57A284">
      <w:pPr>
        <w:spacing w:line="360" w:lineRule="auto"/>
        <w:ind w:firstLine="448" w:firstLineChars="200"/>
        <w:rPr>
          <w:sz w:val="24"/>
        </w:rPr>
      </w:pPr>
      <w:r>
        <w:rPr>
          <w:rFonts w:hint="eastAsia"/>
          <w:sz w:val="24"/>
        </w:rPr>
        <w:t>一、采购服务内容</w:t>
      </w:r>
    </w:p>
    <w:p w14:paraId="0ECD81F9">
      <w:pPr>
        <w:spacing w:line="360" w:lineRule="auto"/>
        <w:ind w:firstLine="448" w:firstLineChars="200"/>
        <w:rPr>
          <w:sz w:val="24"/>
        </w:rPr>
      </w:pPr>
      <w:r>
        <w:rPr>
          <w:rFonts w:hint="eastAsia"/>
          <w:sz w:val="24"/>
        </w:rPr>
        <w:t>合计购买不少于29700工时的运维服务</w:t>
      </w:r>
    </w:p>
    <w:p w14:paraId="5298E110">
      <w:pPr>
        <w:spacing w:line="360" w:lineRule="auto"/>
        <w:ind w:firstLine="448" w:firstLineChars="200"/>
        <w:rPr>
          <w:sz w:val="24"/>
        </w:rPr>
      </w:pPr>
      <w:r>
        <w:rPr>
          <w:rFonts w:hint="eastAsia"/>
          <w:sz w:val="24"/>
        </w:rPr>
        <w:t>1.运维高级岗：投入工作量不少于7600工时，开展平日运维工作，需满足高级技术人员资质要求。</w:t>
      </w:r>
    </w:p>
    <w:p w14:paraId="2B15156A">
      <w:pPr>
        <w:spacing w:line="360" w:lineRule="auto"/>
        <w:ind w:firstLine="448" w:firstLineChars="200"/>
        <w:rPr>
          <w:sz w:val="24"/>
        </w:rPr>
      </w:pPr>
      <w:r>
        <w:rPr>
          <w:rFonts w:hint="eastAsia"/>
          <w:sz w:val="24"/>
        </w:rPr>
        <w:t>2.运维中级岗：投入工作量不少于7500工时，开展平日运维工作，需满足中级技术人员资质要求。</w:t>
      </w:r>
    </w:p>
    <w:p w14:paraId="3CBBA687">
      <w:pPr>
        <w:spacing w:line="360" w:lineRule="auto"/>
        <w:ind w:firstLine="448" w:firstLineChars="200"/>
        <w:rPr>
          <w:sz w:val="24"/>
        </w:rPr>
      </w:pPr>
      <w:r>
        <w:rPr>
          <w:rFonts w:hint="eastAsia"/>
          <w:sz w:val="24"/>
        </w:rPr>
        <w:t>3.运维初级岗：投入工作量不少于5500工时，开展平日运维工作，需满足初级技术人员资质要求。</w:t>
      </w:r>
    </w:p>
    <w:p w14:paraId="2C577CCF">
      <w:pPr>
        <w:spacing w:line="360" w:lineRule="auto"/>
        <w:ind w:firstLine="448" w:firstLineChars="200"/>
        <w:rPr>
          <w:sz w:val="24"/>
        </w:rPr>
      </w:pPr>
      <w:r>
        <w:rPr>
          <w:rFonts w:hint="eastAsia"/>
          <w:sz w:val="24"/>
        </w:rPr>
        <w:t>4.运维其他岗：投入工作量不少于9100工时，开展值班、夜班、加班、紧急等运维工作，需满足中级技术人员资质要求。</w:t>
      </w:r>
    </w:p>
    <w:p w14:paraId="449E8D55">
      <w:pPr>
        <w:spacing w:line="360" w:lineRule="auto"/>
        <w:ind w:firstLine="448" w:firstLineChars="200"/>
        <w:rPr>
          <w:sz w:val="24"/>
        </w:rPr>
      </w:pPr>
      <w:r>
        <w:rPr>
          <w:rFonts w:hint="eastAsia"/>
          <w:sz w:val="24"/>
        </w:rPr>
        <w:t>二</w:t>
      </w:r>
      <w:r>
        <w:rPr>
          <w:sz w:val="24"/>
        </w:rPr>
        <w:t>、</w:t>
      </w:r>
      <w:r>
        <w:rPr>
          <w:rFonts w:hint="eastAsia"/>
          <w:sz w:val="24"/>
        </w:rPr>
        <w:t>现有</w:t>
      </w:r>
      <w:r>
        <w:rPr>
          <w:sz w:val="24"/>
        </w:rPr>
        <w:t>情况介绍</w:t>
      </w:r>
    </w:p>
    <w:p w14:paraId="2C79426B">
      <w:pPr>
        <w:spacing w:line="360" w:lineRule="auto"/>
        <w:ind w:firstLine="448" w:firstLineChars="200"/>
        <w:outlineLvl w:val="0"/>
        <w:rPr>
          <w:sz w:val="24"/>
        </w:rPr>
      </w:pPr>
      <w:r>
        <w:rPr>
          <w:rFonts w:hint="eastAsia"/>
          <w:sz w:val="24"/>
        </w:rPr>
        <w:t>“金四”配套软件基础环境是指腾讯云平台等相关基础软件；虚拟化系统主要是vmware vsphere和华为FusionSphere系统；数据库主要有oracle db、PostgreSQL、mysql、tdsql、kingbase、MongDB、CTSDB、redis等；中间件主要有 kafka、MQ、elasticsearch、DSG、CDC、OGG。DSG是指迪思杰公司的数据采集共享交换平台DataXone，CDC是指神州数码公司的Sm@rt CDC，OGG是指oracle 公司的GoldenGate，DSG和CDC以及OGG都用于数据库间数据同步。</w:t>
      </w:r>
    </w:p>
    <w:p w14:paraId="43B2561D">
      <w:pPr>
        <w:spacing w:line="360" w:lineRule="auto"/>
        <w:ind w:firstLine="448" w:firstLineChars="200"/>
        <w:outlineLvl w:val="0"/>
        <w:rPr>
          <w:sz w:val="24"/>
        </w:rPr>
      </w:pPr>
      <w:r>
        <w:rPr>
          <w:rFonts w:hint="eastAsia"/>
          <w:sz w:val="24"/>
        </w:rPr>
        <w:t>（一）现有软件系统的主要功能</w:t>
      </w:r>
    </w:p>
    <w:p w14:paraId="5B30062D">
      <w:pPr>
        <w:spacing w:line="360" w:lineRule="auto"/>
        <w:ind w:firstLine="448" w:firstLineChars="200"/>
        <w:outlineLvl w:val="0"/>
        <w:rPr>
          <w:sz w:val="24"/>
        </w:rPr>
      </w:pPr>
      <w:r>
        <w:rPr>
          <w:rFonts w:hint="eastAsia"/>
          <w:sz w:val="24"/>
        </w:rPr>
        <w:t>虚拟化、数据库、操作系统等系统软件，包含我局核心系统数据库、应用软件操作系统、中间件，税务专网、互联网、外联网虚拟化平台，作为系统底座，支撑金三核心征管、决策一包、决策二包、外部交换等各金三应用系统的运行。金税四期基础环境及数据链路，包含信创云平台中平台、计算存储、网络、安全、数据库、中间件、DSG和CDC数据链路等方面，作为系统底座，支撑着全国统一规范电子税务局、统一身份管理平台、慧办平台、应用支撑平台、征纳互动、电子发票服务平台等各金四应用系统的运行。相关服务全年无休，必须保障系统7×24小时稳定高效运行，否则将影响纳税人通过互联网办理税费申报业务，影响税务人通过专网办理管理审批业务。</w:t>
      </w:r>
    </w:p>
    <w:p w14:paraId="49E6EE0C">
      <w:pPr>
        <w:spacing w:line="360" w:lineRule="auto"/>
        <w:ind w:firstLine="448" w:firstLineChars="200"/>
        <w:outlineLvl w:val="0"/>
        <w:rPr>
          <w:sz w:val="24"/>
        </w:rPr>
      </w:pPr>
      <w:r>
        <w:rPr>
          <w:rFonts w:hint="eastAsia"/>
          <w:sz w:val="24"/>
        </w:rPr>
        <w:t>（二）业务和技术体系架构及部署</w:t>
      </w:r>
    </w:p>
    <w:p w14:paraId="1AF6481A">
      <w:pPr>
        <w:spacing w:line="360" w:lineRule="auto"/>
        <w:ind w:firstLine="448" w:firstLineChars="200"/>
        <w:outlineLvl w:val="0"/>
        <w:rPr>
          <w:sz w:val="24"/>
        </w:rPr>
      </w:pPr>
      <w:r>
        <w:rPr>
          <w:rFonts w:hint="eastAsia"/>
          <w:sz w:val="24"/>
        </w:rPr>
        <w:t>本项目拟采购虚拟化平台以及数据库、中间件、操作系统等系统软件和“金四”配套软件基础环境及数据链路运维服务，为基础环境及数据链路提供5*8,重保时期7*24服务，充分利用专业技术力量，及时发现隐患，快速排除故障，为确保基础环境及数据链路的正常运行提供安全保障，对于提高税务信息系统整体服务水平起到重要作用，服务内容包括核心数据库11套、24个数据库节点、26个数据库实例、11套OGG、4205个操作系统、847个中间件以及2569个中间件实例，以及业务专网区虚拟化平台、互联网区虚拟化平台、外联网区虚拟化平台等23个虚拟化集群，171台虚拟化宿主机、3484台虚拟机的运行维护，服务内容包括“金四”配套软件基础环境告警处理、日常巡检及运维、问题处理及维护、垃圾数据清理、版本升级、参加日常培训及保障会议、资料整理、工作资料整理移交、安全漏洞修复；数据链路搭建与配置、日常运维监控、故障恢复及改进优化、数据质量一致性保障等运维服务，支撑“金四”配套软件基础环境及数据链路的业务运营。</w:t>
      </w:r>
    </w:p>
    <w:p w14:paraId="505AC05D">
      <w:pPr>
        <w:spacing w:line="360" w:lineRule="auto"/>
        <w:ind w:firstLine="448" w:firstLineChars="200"/>
        <w:rPr>
          <w:sz w:val="24"/>
        </w:rPr>
      </w:pPr>
      <w:r>
        <w:rPr>
          <w:rFonts w:hint="eastAsia"/>
          <w:sz w:val="24"/>
        </w:rPr>
        <w:t>（三）腾讯云平台</w:t>
      </w:r>
    </w:p>
    <w:p w14:paraId="0877795E">
      <w:pPr>
        <w:pStyle w:val="20"/>
        <w:spacing w:before="0" w:beforeAutospacing="0" w:after="0" w:afterAutospacing="0"/>
        <w:ind w:firstLine="448"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包括：腾讯TCE平台业务专网区和互联网区所覆盖的所有计算与网络、存储、数据库、中间件、安全6个方面相关的基础设施。</w:t>
      </w:r>
    </w:p>
    <w:p w14:paraId="25ABAB34">
      <w:pPr>
        <w:pStyle w:val="20"/>
        <w:spacing w:before="0" w:beforeAutospacing="0" w:after="0" w:afterAutospacing="0"/>
        <w:ind w:firstLine="448"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计算与网络：裸金属服务器、负载均衡、云服务器、私有网络、容器服务</w:t>
      </w:r>
    </w:p>
    <w:p w14:paraId="661473C4">
      <w:pPr>
        <w:pStyle w:val="20"/>
        <w:spacing w:before="0" w:beforeAutospacing="0" w:after="0" w:afterAutospacing="0"/>
        <w:ind w:firstLine="448"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存储：云硬盘、对象存储、文件存储、日志服务</w:t>
      </w:r>
    </w:p>
    <w:p w14:paraId="6ECBA6DF">
      <w:pPr>
        <w:pStyle w:val="20"/>
        <w:spacing w:before="0" w:beforeAutospacing="0" w:after="0" w:afterAutospacing="0"/>
        <w:ind w:firstLine="448"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数据库：TDSQL_MySQL版和PostgreSQL版、文档数据库(MongDB)、缓存数据库(Redis)、时序数据库（CTSDB）</w:t>
      </w:r>
    </w:p>
    <w:p w14:paraId="64F5D913">
      <w:pPr>
        <w:pStyle w:val="20"/>
        <w:spacing w:before="0" w:beforeAutospacing="0" w:after="0" w:afterAutospacing="0"/>
        <w:ind w:firstLine="448"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安全：主机安全、web应用防火墙、网络入侵防护系统、高级威胁检测系统、安全运营中心、密钥管理系统、云加密机、云防火墙</w:t>
      </w:r>
    </w:p>
    <w:p w14:paraId="301A4420">
      <w:pPr>
        <w:pStyle w:val="20"/>
        <w:spacing w:before="0" w:beforeAutospacing="0" w:after="0" w:afterAutospacing="0"/>
        <w:ind w:firstLine="448"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中间件：消息队列（TDMQ）、微服务平台、消息队列（CKafka）</w:t>
      </w:r>
    </w:p>
    <w:p w14:paraId="3B44ED7D">
      <w:pPr>
        <w:pStyle w:val="20"/>
        <w:spacing w:before="0" w:beforeAutospacing="0" w:after="0" w:afterAutospacing="0"/>
        <w:ind w:firstLine="448"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域名服务：VPCDNS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1"/>
        <w:gridCol w:w="4082"/>
        <w:gridCol w:w="2131"/>
      </w:tblGrid>
      <w:tr w14:paraId="5DCB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0315A9B3">
            <w:pPr>
              <w:jc w:val="center"/>
              <w:rPr>
                <w:b/>
                <w:bCs/>
              </w:rPr>
            </w:pPr>
            <w:r>
              <w:rPr>
                <w:rFonts w:hint="eastAsia"/>
                <w:b/>
                <w:bCs/>
              </w:rPr>
              <w:t>软件名称</w:t>
            </w:r>
          </w:p>
        </w:tc>
        <w:tc>
          <w:tcPr>
            <w:tcW w:w="4082" w:type="dxa"/>
          </w:tcPr>
          <w:p w14:paraId="4B6591EB">
            <w:pPr>
              <w:jc w:val="center"/>
              <w:rPr>
                <w:b/>
                <w:bCs/>
              </w:rPr>
            </w:pPr>
            <w:r>
              <w:rPr>
                <w:rFonts w:hint="eastAsia"/>
                <w:b/>
                <w:bCs/>
              </w:rPr>
              <w:t>主要功能</w:t>
            </w:r>
          </w:p>
        </w:tc>
        <w:tc>
          <w:tcPr>
            <w:tcW w:w="2131" w:type="dxa"/>
          </w:tcPr>
          <w:p w14:paraId="705F6D97">
            <w:pPr>
              <w:jc w:val="center"/>
              <w:rPr>
                <w:b/>
                <w:bCs/>
              </w:rPr>
            </w:pPr>
            <w:r>
              <w:rPr>
                <w:rFonts w:hint="eastAsia"/>
                <w:b/>
                <w:bCs/>
              </w:rPr>
              <w:t>开发商</w:t>
            </w:r>
          </w:p>
        </w:tc>
      </w:tr>
      <w:tr w14:paraId="5888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1BCFAB93">
            <w:r>
              <w:rPr>
                <w:rFonts w:hint="eastAsia"/>
              </w:rPr>
              <w:t>腾讯TCE</w:t>
            </w:r>
          </w:p>
        </w:tc>
        <w:tc>
          <w:tcPr>
            <w:tcW w:w="4082" w:type="dxa"/>
          </w:tcPr>
          <w:p w14:paraId="40C9CF6C">
            <w:r>
              <w:rPr>
                <w:rFonts w:hint="eastAsia"/>
              </w:rPr>
              <w:t>用于金四系统资源配置和管理</w:t>
            </w:r>
          </w:p>
        </w:tc>
        <w:tc>
          <w:tcPr>
            <w:tcW w:w="2131" w:type="dxa"/>
          </w:tcPr>
          <w:p w14:paraId="3435F05B">
            <w:r>
              <w:rPr>
                <w:rFonts w:hint="eastAsia"/>
              </w:rPr>
              <w:t>腾讯</w:t>
            </w:r>
          </w:p>
        </w:tc>
      </w:tr>
      <w:tr w14:paraId="4AF8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2C42E4AF">
            <w:r>
              <w:rPr>
                <w:rFonts w:hint="eastAsia"/>
              </w:rPr>
              <w:t>DataXone</w:t>
            </w:r>
          </w:p>
        </w:tc>
        <w:tc>
          <w:tcPr>
            <w:tcW w:w="4082" w:type="dxa"/>
          </w:tcPr>
          <w:p w14:paraId="22025B3A">
            <w:r>
              <w:rPr>
                <w:rFonts w:hint="eastAsia"/>
              </w:rPr>
              <w:t>用于定时、实时数据同步，数据加工</w:t>
            </w:r>
          </w:p>
        </w:tc>
        <w:tc>
          <w:tcPr>
            <w:tcW w:w="2131" w:type="dxa"/>
          </w:tcPr>
          <w:p w14:paraId="339694CF">
            <w:r>
              <w:rPr>
                <w:rFonts w:hint="eastAsia"/>
              </w:rPr>
              <w:t>迪思杰（北京）数据管理技术有限公司</w:t>
            </w:r>
          </w:p>
        </w:tc>
      </w:tr>
      <w:tr w14:paraId="3D7A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1" w:type="dxa"/>
          </w:tcPr>
          <w:p w14:paraId="156FAB9F">
            <w:r>
              <w:rPr>
                <w:rFonts w:hint="eastAsia" w:ascii="宋体" w:hAnsi="宋体"/>
                <w:sz w:val="24"/>
                <w:lang w:bidi="ar"/>
              </w:rPr>
              <w:t>Sm@rt CDC</w:t>
            </w:r>
          </w:p>
        </w:tc>
        <w:tc>
          <w:tcPr>
            <w:tcW w:w="4082" w:type="dxa"/>
          </w:tcPr>
          <w:p w14:paraId="4BEEDDD2">
            <w:pPr>
              <w:rPr>
                <w:rFonts w:ascii="Source Han Sans CN" w:hAnsi="Source Han Sans CN" w:eastAsia="Source Han Sans CN" w:cs="Source Han Sans CN"/>
                <w:szCs w:val="21"/>
              </w:rPr>
            </w:pPr>
            <w:r>
              <w:rPr>
                <w:rFonts w:hint="eastAsia"/>
              </w:rPr>
              <w:t>用于定时、实时数据同步，数据加工</w:t>
            </w:r>
          </w:p>
        </w:tc>
        <w:tc>
          <w:tcPr>
            <w:tcW w:w="2131" w:type="dxa"/>
          </w:tcPr>
          <w:p w14:paraId="48B55908">
            <w:r>
              <w:rPr>
                <w:rFonts w:hint="eastAsia"/>
              </w:rPr>
              <w:t>神州数码</w:t>
            </w:r>
          </w:p>
        </w:tc>
      </w:tr>
      <w:tr w14:paraId="0AAC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65CD6FC5">
            <w:r>
              <w:rPr>
                <w:rFonts w:hint="eastAsia"/>
              </w:rPr>
              <w:t>kibana</w:t>
            </w:r>
          </w:p>
        </w:tc>
        <w:tc>
          <w:tcPr>
            <w:tcW w:w="4082" w:type="dxa"/>
          </w:tcPr>
          <w:p w14:paraId="431193E8">
            <w:r>
              <w:rPr>
                <w:rFonts w:hint="eastAsia"/>
              </w:rPr>
              <w:t>用于前端业务流程追踪，问题查询、定位</w:t>
            </w:r>
          </w:p>
        </w:tc>
        <w:tc>
          <w:tcPr>
            <w:tcW w:w="2131" w:type="dxa"/>
          </w:tcPr>
          <w:p w14:paraId="73DF8E76">
            <w:r>
              <w:rPr>
                <w:rFonts w:hint="eastAsia"/>
              </w:rPr>
              <w:t>腾讯</w:t>
            </w:r>
          </w:p>
        </w:tc>
      </w:tr>
      <w:tr w14:paraId="63A3B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1ADDC1C8">
            <w:r>
              <w:rPr>
                <w:rFonts w:hint="eastAsia"/>
              </w:rPr>
              <w:t>支撑赤兔平台</w:t>
            </w:r>
          </w:p>
        </w:tc>
        <w:tc>
          <w:tcPr>
            <w:tcW w:w="4082" w:type="dxa"/>
          </w:tcPr>
          <w:p w14:paraId="5EF9EA38">
            <w:r>
              <w:rPr>
                <w:rFonts w:hint="eastAsia"/>
              </w:rPr>
              <w:t>数据库管理平台，主要对tdsql数据库进行资源管理和监控</w:t>
            </w:r>
          </w:p>
        </w:tc>
        <w:tc>
          <w:tcPr>
            <w:tcW w:w="2131" w:type="dxa"/>
          </w:tcPr>
          <w:p w14:paraId="64FC11D7">
            <w:r>
              <w:rPr>
                <w:rFonts w:hint="eastAsia"/>
              </w:rPr>
              <w:t>腾讯</w:t>
            </w:r>
          </w:p>
        </w:tc>
      </w:tr>
      <w:tr w14:paraId="1CF75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0BA2359A">
            <w:r>
              <w:rPr>
                <w:rFonts w:hint="eastAsia"/>
              </w:rPr>
              <w:t>腾讯云天巡</w:t>
            </w:r>
          </w:p>
        </w:tc>
        <w:tc>
          <w:tcPr>
            <w:tcW w:w="4082" w:type="dxa"/>
          </w:tcPr>
          <w:p w14:paraId="52C94DE4">
            <w:r>
              <w:rPr>
                <w:rFonts w:hint="eastAsia"/>
              </w:rPr>
              <w:t>金四资源监控平台，对金四系统所有计算、存储、网络、安全、数据库等资源的监控和使用情况进行监控</w:t>
            </w:r>
          </w:p>
        </w:tc>
        <w:tc>
          <w:tcPr>
            <w:tcW w:w="2131" w:type="dxa"/>
          </w:tcPr>
          <w:p w14:paraId="2C405CBB">
            <w:r>
              <w:rPr>
                <w:rFonts w:hint="eastAsia"/>
              </w:rPr>
              <w:t>腾讯</w:t>
            </w:r>
          </w:p>
        </w:tc>
      </w:tr>
      <w:tr w14:paraId="7CF69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610FF7AB">
            <w:r>
              <w:rPr>
                <w:rFonts w:hint="eastAsia"/>
              </w:rPr>
              <w:t>蓝鲸智云</w:t>
            </w:r>
          </w:p>
        </w:tc>
        <w:tc>
          <w:tcPr>
            <w:tcW w:w="4082" w:type="dxa"/>
          </w:tcPr>
          <w:p w14:paraId="546E391F">
            <w:r>
              <w:rPr>
                <w:rFonts w:hint="eastAsia"/>
              </w:rPr>
              <w:t>金四系统版本发布升级平台，主要用于系统升级、版本发布</w:t>
            </w:r>
          </w:p>
        </w:tc>
        <w:tc>
          <w:tcPr>
            <w:tcW w:w="2131" w:type="dxa"/>
          </w:tcPr>
          <w:p w14:paraId="73BF2D7B">
            <w:r>
              <w:rPr>
                <w:rFonts w:hint="eastAsia"/>
              </w:rPr>
              <w:t>腾讯</w:t>
            </w:r>
          </w:p>
        </w:tc>
      </w:tr>
      <w:tr w14:paraId="56FD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1" w:type="dxa"/>
          </w:tcPr>
          <w:p w14:paraId="719332CE">
            <w:r>
              <w:rPr>
                <w:rFonts w:hint="eastAsia"/>
              </w:rPr>
              <w:t>腾讯里约</w:t>
            </w:r>
          </w:p>
        </w:tc>
        <w:tc>
          <w:tcPr>
            <w:tcW w:w="4082" w:type="dxa"/>
          </w:tcPr>
          <w:p w14:paraId="02F6C2F1">
            <w:r>
              <w:rPr>
                <w:rFonts w:hint="eastAsia"/>
              </w:rPr>
              <w:t>里约网关监控，对里约网关相关指标进行监控。</w:t>
            </w:r>
          </w:p>
        </w:tc>
        <w:tc>
          <w:tcPr>
            <w:tcW w:w="2131" w:type="dxa"/>
          </w:tcPr>
          <w:p w14:paraId="769AB41A">
            <w:r>
              <w:rPr>
                <w:rFonts w:hint="eastAsia"/>
              </w:rPr>
              <w:t>腾讯</w:t>
            </w:r>
          </w:p>
        </w:tc>
      </w:tr>
    </w:tbl>
    <w:p w14:paraId="082A2279">
      <w:pPr>
        <w:spacing w:line="360" w:lineRule="auto"/>
        <w:ind w:firstLine="448" w:firstLineChars="200"/>
        <w:rPr>
          <w:sz w:val="24"/>
        </w:rPr>
      </w:pPr>
      <w:r>
        <w:rPr>
          <w:sz w:val="24"/>
        </w:rPr>
        <w:t>三、服务内容及要求</w:t>
      </w:r>
    </w:p>
    <w:p w14:paraId="4ADB69B2">
      <w:pPr>
        <w:spacing w:line="360" w:lineRule="auto"/>
        <w:ind w:firstLine="448" w:firstLineChars="200"/>
        <w:rPr>
          <w:sz w:val="24"/>
        </w:rPr>
      </w:pPr>
      <w:r>
        <w:rPr>
          <w:rFonts w:hint="eastAsia"/>
          <w:sz w:val="24"/>
        </w:rPr>
        <w:t>（一）“金四”配套软件基础环境</w:t>
      </w:r>
    </w:p>
    <w:p w14:paraId="7BD515F8">
      <w:pPr>
        <w:spacing w:line="360" w:lineRule="auto"/>
        <w:ind w:firstLine="448" w:firstLineChars="200"/>
        <w:rPr>
          <w:sz w:val="24"/>
        </w:rPr>
      </w:pPr>
      <w:r>
        <w:rPr>
          <w:rFonts w:hint="eastAsia"/>
          <w:sz w:val="24"/>
        </w:rPr>
        <w:t>1、基础环境检查及修复</w:t>
      </w:r>
    </w:p>
    <w:p w14:paraId="58AEB7EE">
      <w:pPr>
        <w:spacing w:line="360" w:lineRule="auto"/>
        <w:ind w:firstLine="448" w:firstLineChars="200"/>
        <w:rPr>
          <w:sz w:val="24"/>
        </w:rPr>
      </w:pPr>
      <w:r>
        <w:rPr>
          <w:rFonts w:hint="eastAsia"/>
          <w:sz w:val="24"/>
        </w:rPr>
        <w:t>每天进行5次巡检，巡检要求1人巡检1人复检，巡检内容包含专网、互联网云哨，天巡，常用组件情况等，巡检过程中发现的所有问题要形成文字报告发送给项目负责人，1类问题要由项目负责人及时汇报给局方负责人。针对每日巡检及总局下发的巡检公告中的告警问题进行处理，要求1类告警问题当天清零，其它类告警问题2天内完成分析归类，按步进行清零操作。</w:t>
      </w:r>
    </w:p>
    <w:p w14:paraId="6786F112">
      <w:pPr>
        <w:spacing w:line="360" w:lineRule="auto"/>
        <w:ind w:firstLine="448" w:firstLineChars="200"/>
        <w:rPr>
          <w:sz w:val="24"/>
        </w:rPr>
      </w:pPr>
      <w:r>
        <w:rPr>
          <w:rFonts w:hint="eastAsia"/>
          <w:sz w:val="24"/>
        </w:rPr>
        <w:t>2、磁盘容量检查及清理</w:t>
      </w:r>
    </w:p>
    <w:p w14:paraId="32D4E817">
      <w:pPr>
        <w:spacing w:line="360" w:lineRule="auto"/>
        <w:ind w:firstLine="448" w:firstLineChars="200"/>
        <w:rPr>
          <w:sz w:val="24"/>
        </w:rPr>
      </w:pPr>
      <w:r>
        <w:rPr>
          <w:rFonts w:hint="eastAsia"/>
          <w:sz w:val="24"/>
        </w:rPr>
        <w:t>按照规则编制定时数据清理脚本，对占用磁盘过大的云平台容器进行定期清理；手工对磁盘占用过大的云平台物理机进行日志类数据、垃圾类数据进行清理。每日将清理结果上报局方负责人。</w:t>
      </w:r>
    </w:p>
    <w:p w14:paraId="0A60EB7B">
      <w:pPr>
        <w:spacing w:line="360" w:lineRule="auto"/>
        <w:ind w:firstLine="448" w:firstLineChars="200"/>
        <w:rPr>
          <w:sz w:val="24"/>
        </w:rPr>
      </w:pPr>
      <w:r>
        <w:rPr>
          <w:rFonts w:hint="eastAsia"/>
          <w:sz w:val="24"/>
        </w:rPr>
        <w:t>3、版本升级</w:t>
      </w:r>
    </w:p>
    <w:p w14:paraId="3161A7B7">
      <w:pPr>
        <w:spacing w:line="360" w:lineRule="auto"/>
        <w:ind w:firstLine="448" w:firstLineChars="200"/>
        <w:rPr>
          <w:sz w:val="24"/>
        </w:rPr>
      </w:pPr>
      <w:r>
        <w:rPr>
          <w:rFonts w:hint="eastAsia"/>
          <w:sz w:val="24"/>
        </w:rPr>
        <w:t>对总局下发的版本升级物料包进行下载，并上传到对应的跳板机，解压并进行验证。在业务不繁忙时段进行总局下发的云平台版本升级。对升级过程中出现的错误进行修正，无法及时修正的联系腾讯工程师处理。升级结束后形成升级报告上报局方负责人。</w:t>
      </w:r>
    </w:p>
    <w:p w14:paraId="28583427">
      <w:pPr>
        <w:spacing w:line="360" w:lineRule="auto"/>
        <w:ind w:firstLine="448" w:firstLineChars="200"/>
        <w:rPr>
          <w:sz w:val="24"/>
        </w:rPr>
      </w:pPr>
      <w:r>
        <w:rPr>
          <w:rFonts w:hint="eastAsia"/>
          <w:sz w:val="24"/>
        </w:rPr>
        <w:t>4、配置项优化</w:t>
      </w:r>
    </w:p>
    <w:p w14:paraId="7E5467C1">
      <w:pPr>
        <w:spacing w:line="360" w:lineRule="auto"/>
        <w:ind w:firstLine="448" w:firstLineChars="200"/>
        <w:rPr>
          <w:sz w:val="24"/>
        </w:rPr>
      </w:pPr>
      <w:r>
        <w:rPr>
          <w:rFonts w:hint="eastAsia"/>
          <w:sz w:val="24"/>
        </w:rPr>
        <w:t>对总局下发的组件配置检查项进行对应的检查，按照SOP文档中的内容进行对应优化，检查优化过程中发现问题及时解决，并将结果上报局方负责人。</w:t>
      </w:r>
    </w:p>
    <w:p w14:paraId="5E405546">
      <w:pPr>
        <w:spacing w:line="360" w:lineRule="auto"/>
        <w:ind w:firstLine="448" w:firstLineChars="200"/>
        <w:rPr>
          <w:sz w:val="24"/>
        </w:rPr>
      </w:pPr>
      <w:r>
        <w:rPr>
          <w:rFonts w:hint="eastAsia"/>
          <w:sz w:val="24"/>
        </w:rPr>
        <w:t>5、故障处理</w:t>
      </w:r>
    </w:p>
    <w:p w14:paraId="780F010B">
      <w:pPr>
        <w:spacing w:line="360" w:lineRule="auto"/>
        <w:ind w:firstLine="448" w:firstLineChars="200"/>
        <w:rPr>
          <w:sz w:val="24"/>
        </w:rPr>
      </w:pPr>
      <w:r>
        <w:rPr>
          <w:rFonts w:hint="eastAsia"/>
          <w:sz w:val="24"/>
        </w:rPr>
        <w:t>处理金四基础环境发生的硬件、软件故障，详细记录故障现象、原因和解决方案，确保故障能够得到及时有效的处理。同时，还要对故障进行深入分析，找出根本原因，防止类似故障再次发生。问题处理过程及时与局方负责人沟通。</w:t>
      </w:r>
    </w:p>
    <w:p w14:paraId="5113AA7C">
      <w:pPr>
        <w:spacing w:line="360" w:lineRule="auto"/>
        <w:ind w:firstLine="448" w:firstLineChars="200"/>
        <w:rPr>
          <w:sz w:val="24"/>
        </w:rPr>
      </w:pPr>
      <w:r>
        <w:rPr>
          <w:rFonts w:hint="eastAsia"/>
          <w:sz w:val="24"/>
        </w:rPr>
        <w:t>处理总局监控发现的问题及下发的多云工单。多云工单在1小时内受理，24小时内处理并反馈。</w:t>
      </w:r>
    </w:p>
    <w:p w14:paraId="4075041C">
      <w:pPr>
        <w:spacing w:line="360" w:lineRule="auto"/>
        <w:ind w:firstLine="448" w:firstLineChars="200"/>
        <w:rPr>
          <w:sz w:val="24"/>
        </w:rPr>
      </w:pPr>
      <w:r>
        <w:rPr>
          <w:rFonts w:hint="eastAsia"/>
          <w:sz w:val="24"/>
        </w:rPr>
        <w:t>6、安全加固</w:t>
      </w:r>
    </w:p>
    <w:p w14:paraId="47852340">
      <w:pPr>
        <w:spacing w:line="360" w:lineRule="auto"/>
        <w:ind w:firstLine="448" w:firstLineChars="200"/>
        <w:rPr>
          <w:sz w:val="24"/>
        </w:rPr>
      </w:pPr>
      <w:r>
        <w:rPr>
          <w:rFonts w:hint="eastAsia"/>
          <w:sz w:val="24"/>
        </w:rPr>
        <w:t>配合天津市税务局开展本项目系统安全加固，包括漏洞修复、基线安全配置、高危端口修改、弱口令清理等。配合天津市税务局开展信息系统等级保护测评、密码安全性评估、渗透测试、数据安全风险评估、源代码审计等安全检查和安全审计工作，包括人员访谈，提供资产信息，根据报告进行问题整改和复测等。</w:t>
      </w:r>
    </w:p>
    <w:p w14:paraId="33EE1876">
      <w:pPr>
        <w:spacing w:line="360" w:lineRule="auto"/>
        <w:ind w:firstLine="448" w:firstLineChars="200"/>
        <w:rPr>
          <w:sz w:val="24"/>
        </w:rPr>
      </w:pPr>
      <w:r>
        <w:rPr>
          <w:rFonts w:hint="eastAsia"/>
          <w:sz w:val="24"/>
        </w:rPr>
        <w:t>7、其他</w:t>
      </w:r>
    </w:p>
    <w:p w14:paraId="383F3ACE">
      <w:pPr>
        <w:spacing w:line="360" w:lineRule="auto"/>
        <w:ind w:firstLine="448" w:firstLineChars="200"/>
        <w:rPr>
          <w:sz w:val="24"/>
        </w:rPr>
      </w:pPr>
      <w:r>
        <w:rPr>
          <w:rFonts w:hint="eastAsia"/>
          <w:sz w:val="24"/>
        </w:rPr>
        <w:t>整理“金四”配套软件相关资料，并录入一帐式进行管理。</w:t>
      </w:r>
    </w:p>
    <w:p w14:paraId="75E9E83E">
      <w:pPr>
        <w:spacing w:line="360" w:lineRule="auto"/>
        <w:ind w:firstLine="448" w:firstLineChars="200"/>
        <w:rPr>
          <w:sz w:val="24"/>
        </w:rPr>
      </w:pPr>
      <w:r>
        <w:rPr>
          <w:rFonts w:hint="eastAsia"/>
          <w:sz w:val="24"/>
        </w:rPr>
        <w:t>处理日常业务工作和部署工作中遇到的软件基础环境出现报错或业务中断等问题。</w:t>
      </w:r>
    </w:p>
    <w:p w14:paraId="22941CA9">
      <w:pPr>
        <w:spacing w:line="360" w:lineRule="auto"/>
        <w:ind w:firstLine="448" w:firstLineChars="200"/>
        <w:rPr>
          <w:sz w:val="24"/>
        </w:rPr>
      </w:pPr>
      <w:r>
        <w:rPr>
          <w:rFonts w:hint="eastAsia"/>
          <w:sz w:val="24"/>
        </w:rPr>
        <w:t>处理局方安排的其他云平台相关工作。</w:t>
      </w:r>
    </w:p>
    <w:p w14:paraId="35581C16">
      <w:pPr>
        <w:spacing w:line="360" w:lineRule="auto"/>
        <w:ind w:firstLine="448" w:firstLineChars="200"/>
        <w:rPr>
          <w:sz w:val="24"/>
        </w:rPr>
      </w:pPr>
      <w:r>
        <w:rPr>
          <w:rFonts w:hint="eastAsia"/>
          <w:sz w:val="24"/>
        </w:rPr>
        <w:t>按照天津市税务局实际需要，在每季度大征期、国家重要节日活动期间，在天津市税务局统一指挥下开展7×24小时重保值守工作，开展本项目系统相关安全保障检查、安全保障监控和安全保障响应，及时开展系统问题处置和安全加固。</w:t>
      </w:r>
    </w:p>
    <w:p w14:paraId="6B389DBE">
      <w:pPr>
        <w:spacing w:line="360" w:lineRule="auto"/>
        <w:ind w:firstLine="448" w:firstLineChars="200"/>
        <w:rPr>
          <w:sz w:val="24"/>
        </w:rPr>
      </w:pPr>
      <w:r>
        <w:rPr>
          <w:rFonts w:hint="eastAsia"/>
          <w:sz w:val="24"/>
        </w:rPr>
        <w:t>（二）数据链路</w:t>
      </w:r>
    </w:p>
    <w:p w14:paraId="211BBE9A">
      <w:pPr>
        <w:spacing w:line="360" w:lineRule="auto"/>
        <w:ind w:firstLine="448" w:firstLineChars="200"/>
        <w:rPr>
          <w:sz w:val="24"/>
        </w:rPr>
      </w:pPr>
      <w:r>
        <w:rPr>
          <w:rFonts w:hint="eastAsia"/>
          <w:sz w:val="24"/>
        </w:rPr>
        <w:t>1、数据链路搭建与配置</w:t>
      </w:r>
    </w:p>
    <w:p w14:paraId="447AEC23">
      <w:pPr>
        <w:spacing w:line="360" w:lineRule="auto"/>
        <w:ind w:firstLine="448" w:firstLineChars="200"/>
        <w:rPr>
          <w:sz w:val="24"/>
        </w:rPr>
      </w:pPr>
      <w:r>
        <w:rPr>
          <w:rFonts w:hint="eastAsia"/>
          <w:sz w:val="24"/>
        </w:rPr>
        <w:t>使用DSG、kafka、cdc等工具设计并部署数据同步方案，覆盖全量及增量同步需求。总计已对接15个内部系统：核心征管、税库银、外部交换、决策一包、决策二包、电子抵账、社保费、内控、实名办税、税控、税智撑、多云平台、慧办平台、可信、新电局；DSG共计搭建50多条链路,实现8000多张表的数据同步。CDC共计搭建27条链路,实现12000多张表的数据同步。配置源端（如MySQL、Oracle等数据库）与目标端（如Kafka、Ckafka、数据仓库）的同步规则，包括表映射、字段转换、数据过滤等。</w:t>
      </w:r>
    </w:p>
    <w:p w14:paraId="461C7B2D">
      <w:pPr>
        <w:spacing w:line="360" w:lineRule="auto"/>
        <w:ind w:firstLine="448" w:firstLineChars="200"/>
        <w:rPr>
          <w:sz w:val="24"/>
        </w:rPr>
      </w:pPr>
      <w:r>
        <w:rPr>
          <w:rFonts w:hint="eastAsia"/>
          <w:sz w:val="24"/>
        </w:rPr>
        <w:t>2、日常运维与监控</w:t>
      </w:r>
    </w:p>
    <w:p w14:paraId="7D8968D5">
      <w:pPr>
        <w:spacing w:line="360" w:lineRule="auto"/>
        <w:ind w:firstLine="448" w:firstLineChars="200"/>
        <w:rPr>
          <w:sz w:val="24"/>
        </w:rPr>
      </w:pPr>
      <w:r>
        <w:rPr>
          <w:rFonts w:hint="eastAsia"/>
          <w:sz w:val="24"/>
        </w:rPr>
        <w:t>每日进行链路巡检,监控数据同步任务状态，通过DSG和CDC控制台监控同步延迟、吞吐量、错误日志、错误表等关键指标,确保链路正常运行；每月初对DSG和CDC链路服务器进行月健康检查；每月末配合发票系统,进行发票除灰操作；每月末配合其他内部系统,进行新增链路、链路添加表、删除表及数据过滤操作；将链路纳入数据治理的链路监控，开展实时的可视化监控，缩短问题处理时效。</w:t>
      </w:r>
    </w:p>
    <w:p w14:paraId="73891770">
      <w:pPr>
        <w:spacing w:line="360" w:lineRule="auto"/>
        <w:ind w:firstLine="448" w:firstLineChars="200"/>
        <w:rPr>
          <w:sz w:val="24"/>
        </w:rPr>
      </w:pPr>
      <w:r>
        <w:rPr>
          <w:rFonts w:hint="eastAsia"/>
          <w:sz w:val="24"/>
        </w:rPr>
        <w:t>3、故障恢复及优化改进</w:t>
      </w:r>
    </w:p>
    <w:p w14:paraId="7F5E2663">
      <w:pPr>
        <w:spacing w:line="360" w:lineRule="auto"/>
        <w:ind w:firstLine="448" w:firstLineChars="200"/>
        <w:rPr>
          <w:sz w:val="24"/>
        </w:rPr>
      </w:pPr>
      <w:r>
        <w:rPr>
          <w:rFonts w:hint="eastAsia"/>
          <w:sz w:val="24"/>
        </w:rPr>
        <w:t>快速响应数据链路故障（如链路挂起、数据不一致等），通过DSG和CDC后台日志定位问题（如网络异常、源端变更、目标端写入失败等）,及时分析故障原因，并进行数据补发、重传等操作。优化链路同步任务性能，调整系统参数、并发参数等，提升数据同步效率与资源利用率。根据客户需求,对链路所在服务器进行漏洞修复（如操作系统内核版本升级等）。</w:t>
      </w:r>
    </w:p>
    <w:p w14:paraId="39EE1D34">
      <w:pPr>
        <w:spacing w:line="360" w:lineRule="auto"/>
        <w:ind w:firstLine="448" w:firstLineChars="200"/>
        <w:rPr>
          <w:sz w:val="24"/>
        </w:rPr>
      </w:pPr>
      <w:r>
        <w:rPr>
          <w:rFonts w:hint="eastAsia"/>
          <w:sz w:val="24"/>
        </w:rPr>
        <w:t>4、数据质量及一致性保障</w:t>
      </w:r>
    </w:p>
    <w:p w14:paraId="22A868CF">
      <w:pPr>
        <w:spacing w:line="360" w:lineRule="auto"/>
        <w:ind w:firstLine="448" w:firstLineChars="200"/>
        <w:rPr>
          <w:sz w:val="24"/>
        </w:rPr>
      </w:pPr>
      <w:r>
        <w:rPr>
          <w:rFonts w:hint="eastAsia"/>
          <w:sz w:val="24"/>
        </w:rPr>
        <w:t>定期执行数据一致性校验（如比对源端与目标端数据量、关键字段值），使用数据比对工具或自定义脚本检测差异。在数据治理系统上进行配置(如数据对账和结构对账)，根据对账结果预估风险、锁定问题，推动标准化数据同步规范，提升整体数据链路质量。</w:t>
      </w:r>
    </w:p>
    <w:p w14:paraId="340664A9">
      <w:pPr>
        <w:spacing w:line="360" w:lineRule="auto"/>
        <w:ind w:firstLine="448" w:firstLineChars="200"/>
        <w:rPr>
          <w:sz w:val="24"/>
        </w:rPr>
      </w:pPr>
      <w:r>
        <w:rPr>
          <w:rFonts w:hint="eastAsia"/>
          <w:sz w:val="24"/>
        </w:rPr>
        <w:t>5、本地特色业务</w:t>
      </w:r>
    </w:p>
    <w:p w14:paraId="3B808906">
      <w:pPr>
        <w:spacing w:line="360" w:lineRule="auto"/>
        <w:ind w:firstLine="448" w:firstLineChars="200"/>
        <w:rPr>
          <w:sz w:val="24"/>
        </w:rPr>
      </w:pPr>
      <w:r>
        <w:rPr>
          <w:rFonts w:hint="eastAsia"/>
          <w:sz w:val="24"/>
        </w:rPr>
        <w:t>根据业务需求，搭建其他特色链路，进行数据准确性测试和验证。</w:t>
      </w:r>
    </w:p>
    <w:p w14:paraId="3AEB4DFB">
      <w:pPr>
        <w:spacing w:line="360" w:lineRule="auto"/>
        <w:ind w:firstLine="448" w:firstLineChars="200"/>
        <w:rPr>
          <w:sz w:val="24"/>
        </w:rPr>
      </w:pPr>
      <w:r>
        <w:rPr>
          <w:rFonts w:hint="eastAsia"/>
          <w:sz w:val="24"/>
        </w:rPr>
        <w:t>（三）操作系统、中间件、数据库、虚拟化</w:t>
      </w:r>
    </w:p>
    <w:p w14:paraId="7279F058">
      <w:pPr>
        <w:spacing w:line="360" w:lineRule="auto"/>
        <w:ind w:firstLine="448" w:firstLineChars="200"/>
        <w:rPr>
          <w:sz w:val="24"/>
        </w:rPr>
      </w:pPr>
      <w:r>
        <w:rPr>
          <w:rFonts w:hint="eastAsia"/>
          <w:sz w:val="24"/>
        </w:rPr>
        <w:t>1、数据库巡检</w:t>
      </w:r>
    </w:p>
    <w:p w14:paraId="12FD3D77">
      <w:pPr>
        <w:spacing w:line="360" w:lineRule="auto"/>
        <w:ind w:firstLine="448" w:firstLineChars="200"/>
        <w:rPr>
          <w:sz w:val="24"/>
        </w:rPr>
      </w:pPr>
      <w:r>
        <w:rPr>
          <w:rFonts w:hint="eastAsia"/>
          <w:sz w:val="24"/>
        </w:rPr>
        <w:t>查看系统备份、检查系统错误报告(Error Log)以及其他的记录文件、检查文件系统、查看卷组信息、检查内存交换区、磁盘阵列检查、系统安全性检查、网络设置检测，Raid状态、多路径冗余情况、负载均衡、磁盘使用率、IO状态。对系统存在的漏洞能及时提出并协助维护技术人员完善、检查错误记录及历史记录的检查与建议、使用记录检查、数据备份情况、针对检查结果提供报告、客户要求的其他一般技术支持。</w:t>
      </w:r>
    </w:p>
    <w:p w14:paraId="23E8003F">
      <w:pPr>
        <w:spacing w:line="360" w:lineRule="auto"/>
        <w:ind w:firstLine="448" w:firstLineChars="200"/>
        <w:rPr>
          <w:sz w:val="24"/>
        </w:rPr>
      </w:pPr>
      <w:r>
        <w:rPr>
          <w:rFonts w:hint="eastAsia"/>
          <w:sz w:val="24"/>
        </w:rPr>
        <w:t>监控数据库系统情况；检查表空间使用情况、文件系统使用情况、归档情况、备份文件、检查系统日志(alter Log)以及其他的记录文件、检查锁与等待、检查是否有失效的约束触发器索引及对象、检查内存情况、检查回滚段使用情况、检查用户情况、系统安全性检查、对系统存在的漏洞能及时提出并协助维护技术人员完善、检查错误记录及历史记录、使用记录检查、数据备份情况、针对检查结果提供报告、客户要求的其他一般技术支持。</w:t>
      </w:r>
    </w:p>
    <w:p w14:paraId="137CA43C">
      <w:pPr>
        <w:spacing w:line="360" w:lineRule="auto"/>
        <w:ind w:firstLine="448" w:firstLineChars="200"/>
        <w:rPr>
          <w:sz w:val="24"/>
        </w:rPr>
      </w:pPr>
      <w:r>
        <w:rPr>
          <w:rFonts w:hint="eastAsia"/>
          <w:sz w:val="24"/>
        </w:rPr>
        <w:t>定期进行数据库调优，帮助完善数据库管理规范，定期完成现场灾难恢复。按照要求完成数据库软件安装、数据迁移及数据库升级，更改数据库配置。进行Oracle Golden Gate 的安装部署和日常运维。每季度提供数据库性能分析报告。</w:t>
      </w:r>
    </w:p>
    <w:p w14:paraId="7C8ADE47">
      <w:pPr>
        <w:spacing w:line="360" w:lineRule="auto"/>
        <w:ind w:firstLine="448" w:firstLineChars="200"/>
        <w:rPr>
          <w:sz w:val="24"/>
        </w:rPr>
      </w:pPr>
      <w:r>
        <w:rPr>
          <w:rFonts w:hint="eastAsia"/>
          <w:sz w:val="24"/>
        </w:rPr>
        <w:t>检查备份系统运行状况，检查虚拟机日常备份情况、检查oracle数据库备份情况、检查虚拟带库使用情况、巡检中发现不足的地方能提出合理的建议，对巡检中发现的问题，能够迅速地找到故障原因，及时地解决，并给出相应的故障解决报告。完成备份软件安装、配置，针对备份平台系统维护，定期进行数据恢复演练，进行维护。</w:t>
      </w:r>
    </w:p>
    <w:p w14:paraId="1DE0C555">
      <w:pPr>
        <w:spacing w:line="360" w:lineRule="auto"/>
        <w:ind w:firstLine="448" w:firstLineChars="200"/>
        <w:rPr>
          <w:sz w:val="24"/>
        </w:rPr>
      </w:pPr>
      <w:r>
        <w:rPr>
          <w:rFonts w:hint="eastAsia"/>
          <w:sz w:val="24"/>
        </w:rPr>
        <w:t>提供每日每周每月巡检报告、每季度提供数据恢复测试报告等。</w:t>
      </w:r>
    </w:p>
    <w:p w14:paraId="005704D7">
      <w:pPr>
        <w:spacing w:line="360" w:lineRule="auto"/>
        <w:ind w:firstLine="448" w:firstLineChars="200"/>
        <w:rPr>
          <w:sz w:val="24"/>
        </w:rPr>
      </w:pPr>
      <w:r>
        <w:rPr>
          <w:rFonts w:hint="eastAsia"/>
          <w:sz w:val="24"/>
        </w:rPr>
        <w:t>2、操作系统及中间件巡检</w:t>
      </w:r>
    </w:p>
    <w:p w14:paraId="0C32FA43">
      <w:pPr>
        <w:spacing w:line="360" w:lineRule="auto"/>
        <w:ind w:firstLine="448" w:firstLineChars="200"/>
        <w:rPr>
          <w:sz w:val="24"/>
        </w:rPr>
      </w:pPr>
      <w:r>
        <w:rPr>
          <w:rFonts w:hint="eastAsia"/>
          <w:sz w:val="24"/>
        </w:rPr>
        <w:t>对各应用系统操作系统（如AIX、Linux、Windows等）及中间件（如Weblogic、Tomcat等）进行以下服务：</w:t>
      </w:r>
    </w:p>
    <w:p w14:paraId="56B5E9DB">
      <w:pPr>
        <w:spacing w:line="360" w:lineRule="auto"/>
        <w:ind w:firstLine="448" w:firstLineChars="200"/>
        <w:rPr>
          <w:sz w:val="24"/>
        </w:rPr>
      </w:pPr>
      <w:r>
        <w:rPr>
          <w:rFonts w:hint="eastAsia"/>
          <w:sz w:val="24"/>
        </w:rPr>
        <w:t>检查操作系统及中间件运行情况，监控系统使用情况；定期检查系统健康状态，定期进行系统调优，帮助完善系统管理规范，协助完成重装操作系统及中间件软件等工作，协助进行操作系统及中间件补丁下载等工作。</w:t>
      </w:r>
    </w:p>
    <w:p w14:paraId="745CCB87">
      <w:pPr>
        <w:spacing w:line="360" w:lineRule="auto"/>
        <w:ind w:firstLine="448" w:firstLineChars="200"/>
        <w:rPr>
          <w:sz w:val="24"/>
        </w:rPr>
      </w:pPr>
      <w:r>
        <w:rPr>
          <w:rFonts w:hint="eastAsia"/>
          <w:sz w:val="24"/>
        </w:rPr>
        <w:t>提供日周月巡检报告、每季度提供季度巡检报告等。</w:t>
      </w:r>
    </w:p>
    <w:p w14:paraId="45803504">
      <w:pPr>
        <w:spacing w:line="360" w:lineRule="auto"/>
        <w:ind w:firstLine="448" w:firstLineChars="200"/>
        <w:rPr>
          <w:sz w:val="24"/>
        </w:rPr>
      </w:pPr>
      <w:r>
        <w:rPr>
          <w:rFonts w:hint="eastAsia"/>
          <w:sz w:val="24"/>
        </w:rPr>
        <w:t>3、虚拟化巡检</w:t>
      </w:r>
    </w:p>
    <w:p w14:paraId="27E6AF3A">
      <w:pPr>
        <w:spacing w:line="360" w:lineRule="auto"/>
        <w:ind w:firstLine="448" w:firstLineChars="200"/>
        <w:rPr>
          <w:sz w:val="24"/>
        </w:rPr>
      </w:pPr>
      <w:r>
        <w:rPr>
          <w:rFonts w:hint="eastAsia"/>
          <w:sz w:val="24"/>
        </w:rPr>
        <w:t>采用软件原厂商专用的检查工具，通过监控数据的全覆盖和关联性分析，综合判断X86平台系统的健康状况。虚拟化资源池健康检查主要包括计算资源、存储资源、网络资源三个方面。</w:t>
      </w:r>
    </w:p>
    <w:p w14:paraId="57E87074">
      <w:pPr>
        <w:spacing w:line="360" w:lineRule="auto"/>
        <w:ind w:firstLine="448" w:firstLineChars="200"/>
        <w:rPr>
          <w:sz w:val="24"/>
        </w:rPr>
      </w:pPr>
      <w:r>
        <w:rPr>
          <w:rFonts w:hint="eastAsia"/>
          <w:sz w:val="24"/>
        </w:rPr>
        <w:t>提供日周月巡检报告、每季度提供季度巡检报告等。</w:t>
      </w:r>
    </w:p>
    <w:p w14:paraId="6267B084">
      <w:pPr>
        <w:spacing w:line="360" w:lineRule="auto"/>
        <w:ind w:firstLine="448" w:firstLineChars="200"/>
        <w:rPr>
          <w:sz w:val="24"/>
        </w:rPr>
      </w:pPr>
      <w:r>
        <w:rPr>
          <w:rFonts w:hint="eastAsia"/>
          <w:sz w:val="24"/>
        </w:rPr>
        <w:t>4、高峰运维</w:t>
      </w:r>
    </w:p>
    <w:p w14:paraId="0BB8263C">
      <w:pPr>
        <w:spacing w:line="360" w:lineRule="auto"/>
        <w:ind w:firstLine="448" w:firstLineChars="200"/>
        <w:rPr>
          <w:sz w:val="24"/>
        </w:rPr>
      </w:pPr>
      <w:r>
        <w:rPr>
          <w:rFonts w:hint="eastAsia"/>
          <w:sz w:val="24"/>
        </w:rPr>
        <w:t>当系统处于业务繁忙高峰期，如征期高峰（征期最后2天）、月末升级和月结初始化（每月最后2天）等，需根据天津市税务局要求，额外动态增加人力资源，确保按时完成业务和技术运维需求。</w:t>
      </w:r>
    </w:p>
    <w:p w14:paraId="2BDD8F33">
      <w:pPr>
        <w:spacing w:line="360" w:lineRule="auto"/>
        <w:ind w:firstLine="448" w:firstLineChars="200"/>
        <w:rPr>
          <w:sz w:val="24"/>
        </w:rPr>
      </w:pPr>
      <w:r>
        <w:rPr>
          <w:rFonts w:hint="eastAsia"/>
          <w:sz w:val="24"/>
        </w:rPr>
        <w:t>5、征期值守</w:t>
      </w:r>
    </w:p>
    <w:p w14:paraId="0FB728E8">
      <w:pPr>
        <w:spacing w:line="360" w:lineRule="auto"/>
        <w:ind w:firstLine="448" w:firstLineChars="200"/>
        <w:rPr>
          <w:sz w:val="24"/>
        </w:rPr>
      </w:pPr>
      <w:r>
        <w:rPr>
          <w:rFonts w:hint="eastAsia"/>
          <w:sz w:val="24"/>
        </w:rPr>
        <w:t>按照天津市税务局实际需要，在每季度大征期以外的普通征期内，在天津市税务局统一指挥下开展7×8小时征期值守工作，开展本项目系统相关安全保障检查、安全保障监控和安全保障响应，及时开展系统问题处置和安全加固。</w:t>
      </w:r>
    </w:p>
    <w:p w14:paraId="19C7BE61">
      <w:pPr>
        <w:spacing w:line="360" w:lineRule="auto"/>
        <w:ind w:firstLine="448" w:firstLineChars="200"/>
        <w:rPr>
          <w:sz w:val="24"/>
        </w:rPr>
      </w:pPr>
      <w:r>
        <w:rPr>
          <w:rFonts w:hint="eastAsia"/>
          <w:sz w:val="24"/>
        </w:rPr>
        <w:t>征期值守期间，运维人员应按时完成系统健康巡检，关注系统可用性监控和自动化拨测告警，发现问题及时上报，及时处置系统故障。在节假日等非工作时间根据天津市税务局实际需要，对系统开展业务和技术支持。当系统在非工作时间突发紧急故障，能够开展有效处置，包括非不可抗力因素造成的故障（故障恢复时间＜30分钟），不可抗力因素造成的故障（响应时间≤30分钟，故障恢复时间＜4小时）。</w:t>
      </w:r>
    </w:p>
    <w:p w14:paraId="0B6199F8">
      <w:pPr>
        <w:spacing w:line="360" w:lineRule="auto"/>
        <w:ind w:firstLine="448" w:firstLineChars="200"/>
        <w:rPr>
          <w:sz w:val="24"/>
        </w:rPr>
      </w:pPr>
      <w:r>
        <w:rPr>
          <w:sz w:val="24"/>
        </w:rPr>
        <w:t>四、工时分类及调配要求</w:t>
      </w:r>
    </w:p>
    <w:p w14:paraId="195CB316">
      <w:pPr>
        <w:spacing w:line="360" w:lineRule="auto"/>
        <w:ind w:firstLine="448" w:firstLineChars="200"/>
        <w:rPr>
          <w:sz w:val="24"/>
        </w:rPr>
      </w:pPr>
      <w:r>
        <w:rPr>
          <w:rFonts w:hint="eastAsia"/>
          <w:sz w:val="24"/>
        </w:rPr>
        <w:t>（一）工时分类</w:t>
      </w:r>
    </w:p>
    <w:p w14:paraId="1A99AB46">
      <w:pPr>
        <w:spacing w:line="360" w:lineRule="auto"/>
        <w:ind w:firstLine="448" w:firstLineChars="200"/>
        <w:rPr>
          <w:sz w:val="24"/>
        </w:rPr>
      </w:pPr>
      <w:r>
        <w:rPr>
          <w:rFonts w:hint="eastAsia"/>
          <w:sz w:val="24"/>
        </w:rPr>
        <w:t>1.平日工时：全年工作日约为248天，每个工作日白天正常工时不少于8小时，特殊情况按工作日实际工时计算。</w:t>
      </w:r>
    </w:p>
    <w:p w14:paraId="25B00699">
      <w:pPr>
        <w:spacing w:line="360" w:lineRule="auto"/>
        <w:ind w:firstLine="448" w:firstLineChars="200"/>
        <w:rPr>
          <w:sz w:val="24"/>
        </w:rPr>
      </w:pPr>
      <w:r>
        <w:rPr>
          <w:rFonts w:hint="eastAsia"/>
          <w:sz w:val="24"/>
        </w:rPr>
        <w:t>2.值班工时：各月征期和重要时间节点，需根据采购人要求，安排人员在正常工作日以外的公休日开展白天值班值守，每日值班工时不少于8小时，特殊情况按值班实际工时计算。全年各月征期内和重要时间节点内公休日约70天（含周六日和法定节假日），公休日白天值班值守工时可按实际工时2倍计算。</w:t>
      </w:r>
    </w:p>
    <w:p w14:paraId="0F9F61A9">
      <w:pPr>
        <w:spacing w:line="360" w:lineRule="auto"/>
        <w:ind w:firstLine="448" w:firstLineChars="200"/>
        <w:rPr>
          <w:sz w:val="24"/>
        </w:rPr>
      </w:pPr>
      <w:r>
        <w:rPr>
          <w:rFonts w:hint="eastAsia"/>
          <w:sz w:val="24"/>
        </w:rPr>
        <w:t>3.夜班工时：全年每季度大征期月份（约75天）、两会期间（约8天）、重要安全演练期间（约30天）、国家和天津市重要活动期间（例如冬奥会、二十大、上合峰会等级别活动）等重要时间节点，需根据采购人要求，安排人员在白班以外的非工作时间开展夜班值守，每日夜班值守工时不少于16小时，特殊情况按夜班实际工时计算。全年重要时间节点夜班值守约113天，夜班值守工时可按实际工时1.5倍计算。</w:t>
      </w:r>
    </w:p>
    <w:p w14:paraId="7B62ACE5">
      <w:pPr>
        <w:spacing w:line="360" w:lineRule="auto"/>
        <w:ind w:firstLine="448" w:firstLineChars="200"/>
        <w:rPr>
          <w:sz w:val="24"/>
        </w:rPr>
      </w:pPr>
      <w:r>
        <w:rPr>
          <w:rFonts w:hint="eastAsia"/>
          <w:sz w:val="24"/>
        </w:rPr>
        <w:t>4.加班工时：当系统处于业务繁忙高峰期，或国家税务总局、采购人有加班需求，如征期高峰（征期最后2天）、月末升级和月结初始化（每月最后2天）、公休日白天值班和重要时点夜班值守以外的非工作时间工作需求等，可额外动态增加人力资源开展加班工作。加班工时需提前报备弹性人力资源计划或非工作时间加班申请，非工作时间内增加的加班工时可按实际工时1.5倍计算。所有加班工时需根据弹性计划或加班申请的实际执行情况核算工时，否则不予记录工时。</w:t>
      </w:r>
    </w:p>
    <w:p w14:paraId="16158E9F">
      <w:pPr>
        <w:spacing w:line="360" w:lineRule="auto"/>
        <w:ind w:firstLine="448" w:firstLineChars="200"/>
        <w:rPr>
          <w:sz w:val="24"/>
        </w:rPr>
      </w:pPr>
      <w:r>
        <w:rPr>
          <w:rFonts w:hint="eastAsia"/>
          <w:sz w:val="24"/>
        </w:rPr>
        <w:t>5.紧急工时：当系统在非工作时间突发紧急故障，能够根据采购人要求，额外动态增加人力资源，开展有效处置。有效处置定义为非不可抗力因素造成的故障，故障恢复时间＜30分钟，不可抗力因素造成的故障，响应时间≤30分钟，故障恢复时间＜4小时。成功处置故障后可根据事后故障处置报告中人力投入情况，可按实际工时2倍计算紧急工时，否则不予记录工时。</w:t>
      </w:r>
    </w:p>
    <w:p w14:paraId="5037B91B">
      <w:pPr>
        <w:spacing w:line="360" w:lineRule="auto"/>
        <w:ind w:firstLine="448" w:firstLineChars="200"/>
        <w:rPr>
          <w:sz w:val="24"/>
        </w:rPr>
      </w:pPr>
      <w:r>
        <w:rPr>
          <w:rFonts w:hint="eastAsia"/>
          <w:sz w:val="24"/>
        </w:rPr>
        <w:t>（二）动态调配要求</w:t>
      </w:r>
    </w:p>
    <w:p w14:paraId="49410E3C">
      <w:pPr>
        <w:spacing w:line="360" w:lineRule="auto"/>
        <w:ind w:firstLine="448" w:firstLineChars="200"/>
        <w:rPr>
          <w:sz w:val="24"/>
        </w:rPr>
      </w:pPr>
      <w:r>
        <w:rPr>
          <w:rFonts w:hint="eastAsia"/>
          <w:sz w:val="24"/>
        </w:rPr>
        <w:t>本项目需要通过建立基于工时的弹性运维体系，实现人员动态调配，保障高峰期服务质量，降低平峰期资源冗余成本，涵盖所有业务和技术运维工作。</w:t>
      </w:r>
    </w:p>
    <w:p w14:paraId="1B155EE0">
      <w:pPr>
        <w:spacing w:line="360" w:lineRule="auto"/>
        <w:ind w:firstLine="448" w:firstLineChars="200"/>
        <w:rPr>
          <w:sz w:val="24"/>
        </w:rPr>
      </w:pPr>
      <w:r>
        <w:rPr>
          <w:rFonts w:hint="eastAsia"/>
          <w:sz w:val="24"/>
        </w:rPr>
        <w:t>1.供应商能够在组建项目运维团队的基础上，提供弹性人力资源池，承诺高峰期和重要时间节点可调配人力大于常规需求人力，低峰期可调配人力不少于常规需求人力的60%。弹性人力资源既包括在高峰期增加人员数量或延长工作时间来实现额外投入人力，也包括在低峰期削减人员数量或调整工作时间来节约人力成本。</w:t>
      </w:r>
    </w:p>
    <w:p w14:paraId="10DD6FF0">
      <w:pPr>
        <w:spacing w:line="360" w:lineRule="auto"/>
        <w:ind w:firstLine="448" w:firstLineChars="200"/>
        <w:rPr>
          <w:sz w:val="24"/>
        </w:rPr>
      </w:pPr>
      <w:r>
        <w:rPr>
          <w:rFonts w:hint="eastAsia"/>
          <w:sz w:val="24"/>
        </w:rPr>
        <w:t>2.供应商动态调配人力资源标准可以向下兼容、不可向上兼容，例如高级技术人员可以处置中级或初级技术人员工作，初级技术人员不能代替高级或中级技术人员处理相关工作。供应商动态调配人力资源必须满足采购人实际工作需要和网络安全管理要求。</w:t>
      </w:r>
    </w:p>
    <w:p w14:paraId="399411FA">
      <w:pPr>
        <w:spacing w:line="360" w:lineRule="auto"/>
        <w:ind w:firstLine="448" w:firstLineChars="200"/>
        <w:rPr>
          <w:sz w:val="24"/>
        </w:rPr>
      </w:pPr>
      <w:r>
        <w:rPr>
          <w:rFonts w:hint="eastAsia"/>
          <w:sz w:val="24"/>
        </w:rPr>
        <w:t>3.供应商投入的同级别动态人力资源，包括常规工时与额外工时，分类小计应不少于项目采购内容所列各级别所需工时合计数，全部类别合计应不少于项目采购内容所列的需求工时数总量。</w:t>
      </w:r>
    </w:p>
    <w:p w14:paraId="780DF98F">
      <w:pPr>
        <w:spacing w:line="360" w:lineRule="auto"/>
        <w:ind w:firstLine="448" w:firstLineChars="200"/>
        <w:rPr>
          <w:sz w:val="24"/>
        </w:rPr>
      </w:pPr>
      <w:r>
        <w:rPr>
          <w:rFonts w:hint="eastAsia"/>
          <w:sz w:val="24"/>
        </w:rPr>
        <w:t>4.供应商需提交提供动态人力资源核实方案，应满足采购人核查在岗人员数量和实际工作时长需求，每月需提交实际投入运维工作人力资源报告，报告应包括当月实际投入的平日工时、值班工时、夜班工时、加班工时、紧急工时等核算数据。</w:t>
      </w:r>
    </w:p>
    <w:p w14:paraId="2967F8AF">
      <w:pPr>
        <w:spacing w:line="360" w:lineRule="auto"/>
        <w:ind w:firstLine="448" w:firstLineChars="200"/>
        <w:rPr>
          <w:sz w:val="24"/>
        </w:rPr>
      </w:pPr>
      <w:r>
        <w:rPr>
          <w:rFonts w:hint="eastAsia"/>
          <w:sz w:val="24"/>
        </w:rPr>
        <w:t>5.供应商不得虚报工时，若采购人发现虚假工时记录，按虚报工时的3倍扣除工时数据。若供应商没有建立动态人力资源池，在高峰期或重保期未达承诺人力，并给采购人造成损失，按缺岗工时的2倍扣除工时数据。</w:t>
      </w:r>
    </w:p>
    <w:p w14:paraId="352CA6E3">
      <w:pPr>
        <w:spacing w:line="360" w:lineRule="auto"/>
        <w:ind w:firstLine="448" w:firstLineChars="200"/>
        <w:rPr>
          <w:sz w:val="24"/>
        </w:rPr>
      </w:pPr>
      <w:r>
        <w:rPr>
          <w:rFonts w:hint="eastAsia"/>
          <w:sz w:val="24"/>
        </w:rPr>
        <w:t>五、</w:t>
      </w:r>
      <w:r>
        <w:rPr>
          <w:sz w:val="24"/>
        </w:rPr>
        <w:t>投入人员要求</w:t>
      </w:r>
    </w:p>
    <w:p w14:paraId="4AEAF5B7">
      <w:pPr>
        <w:spacing w:line="360" w:lineRule="auto"/>
        <w:ind w:firstLine="448" w:firstLineChars="200"/>
        <w:rPr>
          <w:sz w:val="24"/>
        </w:rPr>
      </w:pPr>
      <w:r>
        <w:rPr>
          <w:rFonts w:hint="eastAsia"/>
          <w:sz w:val="24"/>
        </w:rPr>
        <w:t>（一）岗位要求</w:t>
      </w:r>
    </w:p>
    <w:tbl>
      <w:tblPr>
        <w:tblStyle w:val="23"/>
        <w:tblW w:w="53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011"/>
        <w:gridCol w:w="883"/>
        <w:gridCol w:w="2631"/>
        <w:gridCol w:w="3015"/>
        <w:gridCol w:w="958"/>
      </w:tblGrid>
      <w:tr w14:paraId="208E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vAlign w:val="center"/>
          </w:tcPr>
          <w:p w14:paraId="7F235FA9">
            <w:pPr>
              <w:adjustRightInd w:val="0"/>
              <w:snapToGrid w:val="0"/>
              <w:jc w:val="center"/>
              <w:rPr>
                <w:szCs w:val="21"/>
              </w:rPr>
            </w:pPr>
            <w:r>
              <w:rPr>
                <w:szCs w:val="21"/>
              </w:rPr>
              <w:t>序号</w:t>
            </w:r>
          </w:p>
        </w:tc>
        <w:tc>
          <w:tcPr>
            <w:tcW w:w="557" w:type="pct"/>
            <w:vAlign w:val="center"/>
          </w:tcPr>
          <w:p w14:paraId="04F16480">
            <w:pPr>
              <w:adjustRightInd w:val="0"/>
              <w:snapToGrid w:val="0"/>
              <w:jc w:val="center"/>
              <w:rPr>
                <w:szCs w:val="21"/>
              </w:rPr>
            </w:pPr>
            <w:r>
              <w:rPr>
                <w:szCs w:val="21"/>
              </w:rPr>
              <w:t>岗位名称</w:t>
            </w:r>
          </w:p>
        </w:tc>
        <w:tc>
          <w:tcPr>
            <w:tcW w:w="486" w:type="pct"/>
            <w:vAlign w:val="center"/>
          </w:tcPr>
          <w:p w14:paraId="4C8AB14B">
            <w:pPr>
              <w:adjustRightInd w:val="0"/>
              <w:snapToGrid w:val="0"/>
              <w:jc w:val="center"/>
              <w:rPr>
                <w:szCs w:val="21"/>
              </w:rPr>
            </w:pPr>
            <w:r>
              <w:rPr>
                <w:rFonts w:hint="eastAsia"/>
                <w:szCs w:val="21"/>
              </w:rPr>
              <w:t>工时</w:t>
            </w:r>
          </w:p>
        </w:tc>
        <w:tc>
          <w:tcPr>
            <w:tcW w:w="1449" w:type="pct"/>
            <w:vAlign w:val="center"/>
          </w:tcPr>
          <w:p w14:paraId="157025ED">
            <w:pPr>
              <w:adjustRightInd w:val="0"/>
              <w:snapToGrid w:val="0"/>
              <w:jc w:val="center"/>
              <w:rPr>
                <w:szCs w:val="21"/>
              </w:rPr>
            </w:pPr>
            <w:r>
              <w:rPr>
                <w:szCs w:val="21"/>
              </w:rPr>
              <w:t>要求</w:t>
            </w:r>
          </w:p>
        </w:tc>
        <w:tc>
          <w:tcPr>
            <w:tcW w:w="1661" w:type="pct"/>
            <w:vAlign w:val="center"/>
          </w:tcPr>
          <w:p w14:paraId="3BB8E811">
            <w:pPr>
              <w:adjustRightInd w:val="0"/>
              <w:snapToGrid w:val="0"/>
              <w:jc w:val="center"/>
              <w:rPr>
                <w:szCs w:val="21"/>
              </w:rPr>
            </w:pPr>
            <w:r>
              <w:rPr>
                <w:szCs w:val="21"/>
              </w:rPr>
              <w:t>工作职责</w:t>
            </w:r>
          </w:p>
        </w:tc>
        <w:tc>
          <w:tcPr>
            <w:tcW w:w="528" w:type="pct"/>
          </w:tcPr>
          <w:p w14:paraId="7416743B">
            <w:pPr>
              <w:adjustRightInd w:val="0"/>
              <w:snapToGrid w:val="0"/>
              <w:jc w:val="center"/>
              <w:rPr>
                <w:szCs w:val="21"/>
              </w:rPr>
            </w:pPr>
            <w:r>
              <w:rPr>
                <w:szCs w:val="21"/>
              </w:rPr>
              <w:t>是否驻场服务</w:t>
            </w:r>
          </w:p>
        </w:tc>
      </w:tr>
      <w:tr w14:paraId="7B2A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vAlign w:val="center"/>
          </w:tcPr>
          <w:p w14:paraId="61D08BFF">
            <w:pPr>
              <w:adjustRightInd w:val="0"/>
              <w:snapToGrid w:val="0"/>
              <w:jc w:val="center"/>
              <w:rPr>
                <w:szCs w:val="21"/>
              </w:rPr>
            </w:pPr>
            <w:r>
              <w:rPr>
                <w:szCs w:val="21"/>
              </w:rPr>
              <w:t>1</w:t>
            </w:r>
          </w:p>
        </w:tc>
        <w:tc>
          <w:tcPr>
            <w:tcW w:w="557" w:type="pct"/>
            <w:vAlign w:val="center"/>
          </w:tcPr>
          <w:p w14:paraId="67555261">
            <w:pPr>
              <w:adjustRightInd w:val="0"/>
              <w:snapToGrid w:val="0"/>
              <w:jc w:val="center"/>
              <w:rPr>
                <w:szCs w:val="21"/>
              </w:rPr>
            </w:pPr>
            <w:r>
              <w:rPr>
                <w:rFonts w:hint="eastAsia" w:ascii="宋体" w:hAnsi="宋体"/>
                <w:szCs w:val="21"/>
              </w:rPr>
              <w:t>高级岗</w:t>
            </w:r>
          </w:p>
        </w:tc>
        <w:tc>
          <w:tcPr>
            <w:tcW w:w="486" w:type="pct"/>
            <w:vAlign w:val="center"/>
          </w:tcPr>
          <w:p w14:paraId="398F67E6">
            <w:pPr>
              <w:adjustRightInd w:val="0"/>
              <w:snapToGrid w:val="0"/>
              <w:jc w:val="center"/>
              <w:rPr>
                <w:szCs w:val="21"/>
              </w:rPr>
            </w:pPr>
            <w:r>
              <w:rPr>
                <w:rFonts w:hint="eastAsia"/>
                <w:szCs w:val="21"/>
              </w:rPr>
              <w:t>7600</w:t>
            </w:r>
          </w:p>
        </w:tc>
        <w:tc>
          <w:tcPr>
            <w:tcW w:w="1449" w:type="pct"/>
            <w:vAlign w:val="center"/>
          </w:tcPr>
          <w:p w14:paraId="1AE6B13D">
            <w:pPr>
              <w:adjustRightInd w:val="0"/>
              <w:snapToGrid w:val="0"/>
              <w:jc w:val="left"/>
              <w:rPr>
                <w:szCs w:val="21"/>
              </w:rPr>
            </w:pPr>
            <w:r>
              <w:rPr>
                <w:rFonts w:hint="eastAsia" w:ascii="宋体" w:hAnsi="宋体"/>
                <w:szCs w:val="21"/>
              </w:rPr>
              <w:t>本科以下学历工作5年及以上，或本科学历工作3年及以上，或硕士学历工作2年及以上，或博士学历工作1年及以上</w:t>
            </w:r>
          </w:p>
        </w:tc>
        <w:tc>
          <w:tcPr>
            <w:tcW w:w="1661" w:type="pct"/>
            <w:vAlign w:val="center"/>
          </w:tcPr>
          <w:p w14:paraId="1DF7B17C">
            <w:pPr>
              <w:adjustRightInd w:val="0"/>
              <w:snapToGrid w:val="0"/>
              <w:jc w:val="left"/>
              <w:rPr>
                <w:rFonts w:ascii="宋体" w:hAnsi="宋体"/>
                <w:szCs w:val="21"/>
              </w:rPr>
            </w:pPr>
            <w:r>
              <w:rPr>
                <w:rFonts w:hint="eastAsia" w:ascii="宋体" w:hAnsi="宋体"/>
                <w:szCs w:val="21"/>
              </w:rPr>
              <w:t>高级业务和技术运维服务（保障金四配套软件基础环境平台、计算存储、网络、安全、数据库、中间件的正常运行）</w:t>
            </w:r>
          </w:p>
        </w:tc>
        <w:tc>
          <w:tcPr>
            <w:tcW w:w="528" w:type="pct"/>
            <w:vAlign w:val="center"/>
          </w:tcPr>
          <w:p w14:paraId="0352109F">
            <w:pPr>
              <w:adjustRightInd w:val="0"/>
              <w:snapToGrid w:val="0"/>
              <w:rPr>
                <w:szCs w:val="21"/>
              </w:rPr>
            </w:pPr>
            <w:r>
              <w:rPr>
                <w:rFonts w:hint="eastAsia"/>
                <w:szCs w:val="21"/>
              </w:rPr>
              <w:t>工作时间驻场</w:t>
            </w:r>
          </w:p>
        </w:tc>
      </w:tr>
      <w:tr w14:paraId="29D2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vAlign w:val="center"/>
          </w:tcPr>
          <w:p w14:paraId="6EC51D8B">
            <w:pPr>
              <w:adjustRightInd w:val="0"/>
              <w:snapToGrid w:val="0"/>
              <w:jc w:val="center"/>
              <w:rPr>
                <w:szCs w:val="21"/>
              </w:rPr>
            </w:pPr>
            <w:r>
              <w:rPr>
                <w:szCs w:val="21"/>
              </w:rPr>
              <w:t>2</w:t>
            </w:r>
          </w:p>
        </w:tc>
        <w:tc>
          <w:tcPr>
            <w:tcW w:w="557" w:type="pct"/>
            <w:vAlign w:val="center"/>
          </w:tcPr>
          <w:p w14:paraId="6FBA1443">
            <w:pPr>
              <w:adjustRightInd w:val="0"/>
              <w:snapToGrid w:val="0"/>
              <w:jc w:val="center"/>
              <w:rPr>
                <w:szCs w:val="21"/>
              </w:rPr>
            </w:pPr>
            <w:r>
              <w:rPr>
                <w:rFonts w:hint="eastAsia"/>
                <w:szCs w:val="21"/>
              </w:rPr>
              <w:t>中级岗</w:t>
            </w:r>
          </w:p>
        </w:tc>
        <w:tc>
          <w:tcPr>
            <w:tcW w:w="486" w:type="pct"/>
            <w:vAlign w:val="center"/>
          </w:tcPr>
          <w:p w14:paraId="0B7DCDC2">
            <w:pPr>
              <w:adjustRightInd w:val="0"/>
              <w:snapToGrid w:val="0"/>
              <w:jc w:val="center"/>
              <w:rPr>
                <w:szCs w:val="21"/>
              </w:rPr>
            </w:pPr>
            <w:r>
              <w:rPr>
                <w:rFonts w:hint="eastAsia"/>
                <w:szCs w:val="21"/>
              </w:rPr>
              <w:t>7500</w:t>
            </w:r>
          </w:p>
        </w:tc>
        <w:tc>
          <w:tcPr>
            <w:tcW w:w="1449" w:type="pct"/>
            <w:vAlign w:val="center"/>
          </w:tcPr>
          <w:p w14:paraId="2D4E6B39">
            <w:pPr>
              <w:adjustRightInd w:val="0"/>
              <w:snapToGrid w:val="0"/>
              <w:jc w:val="left"/>
              <w:rPr>
                <w:szCs w:val="21"/>
              </w:rPr>
            </w:pPr>
            <w:r>
              <w:rPr>
                <w:rFonts w:hint="eastAsia" w:ascii="宋体" w:hAnsi="宋体"/>
                <w:szCs w:val="21"/>
              </w:rPr>
              <w:t>本科以下学历工作3年及以上，或本科学历工作2年及以上，或硕士及以上学历工作1年及以上</w:t>
            </w:r>
          </w:p>
        </w:tc>
        <w:tc>
          <w:tcPr>
            <w:tcW w:w="1661" w:type="pct"/>
            <w:vAlign w:val="center"/>
          </w:tcPr>
          <w:p w14:paraId="6DF5BBC1">
            <w:pPr>
              <w:adjustRightInd w:val="0"/>
              <w:snapToGrid w:val="0"/>
              <w:jc w:val="left"/>
              <w:rPr>
                <w:rFonts w:ascii="宋体" w:hAnsi="宋体"/>
                <w:szCs w:val="21"/>
              </w:rPr>
            </w:pPr>
            <w:r>
              <w:rPr>
                <w:rFonts w:hint="eastAsia" w:ascii="宋体" w:hAnsi="宋体"/>
                <w:szCs w:val="21"/>
              </w:rPr>
              <w:t>中级业务和技术运维服务（保障DSG和CDC数据链路正常）</w:t>
            </w:r>
          </w:p>
        </w:tc>
        <w:tc>
          <w:tcPr>
            <w:tcW w:w="528" w:type="pct"/>
            <w:vAlign w:val="center"/>
          </w:tcPr>
          <w:p w14:paraId="38E80A95">
            <w:pPr>
              <w:adjustRightInd w:val="0"/>
              <w:snapToGrid w:val="0"/>
              <w:rPr>
                <w:szCs w:val="21"/>
              </w:rPr>
            </w:pPr>
            <w:r>
              <w:rPr>
                <w:rFonts w:hint="eastAsia"/>
                <w:szCs w:val="21"/>
              </w:rPr>
              <w:t>工作时间驻场</w:t>
            </w:r>
          </w:p>
        </w:tc>
      </w:tr>
      <w:tr w14:paraId="19EC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5" w:type="pct"/>
            <w:vAlign w:val="center"/>
          </w:tcPr>
          <w:p w14:paraId="4530820C">
            <w:pPr>
              <w:adjustRightInd w:val="0"/>
              <w:snapToGrid w:val="0"/>
              <w:jc w:val="center"/>
              <w:rPr>
                <w:szCs w:val="21"/>
              </w:rPr>
            </w:pPr>
            <w:r>
              <w:rPr>
                <w:rFonts w:hint="eastAsia"/>
                <w:szCs w:val="21"/>
              </w:rPr>
              <w:t>3</w:t>
            </w:r>
          </w:p>
        </w:tc>
        <w:tc>
          <w:tcPr>
            <w:tcW w:w="557" w:type="pct"/>
            <w:vAlign w:val="center"/>
          </w:tcPr>
          <w:p w14:paraId="689E3038">
            <w:pPr>
              <w:adjustRightInd w:val="0"/>
              <w:snapToGrid w:val="0"/>
              <w:jc w:val="center"/>
              <w:rPr>
                <w:szCs w:val="21"/>
              </w:rPr>
            </w:pPr>
            <w:r>
              <w:rPr>
                <w:rFonts w:hint="eastAsia"/>
                <w:szCs w:val="21"/>
              </w:rPr>
              <w:t>初级岗</w:t>
            </w:r>
          </w:p>
        </w:tc>
        <w:tc>
          <w:tcPr>
            <w:tcW w:w="486" w:type="pct"/>
            <w:vAlign w:val="center"/>
          </w:tcPr>
          <w:p w14:paraId="76C69070">
            <w:pPr>
              <w:adjustRightInd w:val="0"/>
              <w:snapToGrid w:val="0"/>
              <w:jc w:val="center"/>
              <w:rPr>
                <w:szCs w:val="21"/>
              </w:rPr>
            </w:pPr>
            <w:r>
              <w:rPr>
                <w:rFonts w:hint="eastAsia"/>
                <w:szCs w:val="21"/>
              </w:rPr>
              <w:t>5500</w:t>
            </w:r>
          </w:p>
        </w:tc>
        <w:tc>
          <w:tcPr>
            <w:tcW w:w="1449" w:type="pct"/>
            <w:vAlign w:val="center"/>
          </w:tcPr>
          <w:p w14:paraId="2A8ECC96">
            <w:pPr>
              <w:adjustRightInd w:val="0"/>
              <w:snapToGrid w:val="0"/>
              <w:jc w:val="left"/>
              <w:rPr>
                <w:szCs w:val="21"/>
              </w:rPr>
            </w:pPr>
            <w:r>
              <w:rPr>
                <w:rFonts w:hint="eastAsia" w:ascii="宋体" w:hAnsi="宋体"/>
                <w:szCs w:val="21"/>
              </w:rPr>
              <w:t>本科以下学历工作2年及以上，或本科及以上学历工作1年及以上</w:t>
            </w:r>
          </w:p>
        </w:tc>
        <w:tc>
          <w:tcPr>
            <w:tcW w:w="1661" w:type="pct"/>
            <w:vAlign w:val="center"/>
          </w:tcPr>
          <w:p w14:paraId="7B27483E">
            <w:pPr>
              <w:adjustRightInd w:val="0"/>
              <w:snapToGrid w:val="0"/>
              <w:jc w:val="left"/>
              <w:rPr>
                <w:rFonts w:ascii="宋体" w:hAnsi="宋体"/>
                <w:szCs w:val="21"/>
              </w:rPr>
            </w:pPr>
            <w:r>
              <w:rPr>
                <w:rFonts w:hint="eastAsia" w:ascii="宋体" w:hAnsi="宋体"/>
                <w:szCs w:val="21"/>
              </w:rPr>
              <w:t>初级业务和技术运维服务（日常运维、告警处置、运维报告）</w:t>
            </w:r>
          </w:p>
        </w:tc>
        <w:tc>
          <w:tcPr>
            <w:tcW w:w="528" w:type="pct"/>
            <w:vAlign w:val="center"/>
          </w:tcPr>
          <w:p w14:paraId="73C45CFB">
            <w:pPr>
              <w:adjustRightInd w:val="0"/>
              <w:snapToGrid w:val="0"/>
              <w:rPr>
                <w:szCs w:val="21"/>
              </w:rPr>
            </w:pPr>
            <w:r>
              <w:rPr>
                <w:rFonts w:hint="eastAsia"/>
                <w:szCs w:val="21"/>
              </w:rPr>
              <w:t>工作时间驻场</w:t>
            </w:r>
          </w:p>
        </w:tc>
      </w:tr>
      <w:tr w14:paraId="6945F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vAlign w:val="center"/>
          </w:tcPr>
          <w:p w14:paraId="3AC83489">
            <w:pPr>
              <w:adjustRightInd w:val="0"/>
              <w:snapToGrid w:val="0"/>
              <w:jc w:val="center"/>
              <w:rPr>
                <w:szCs w:val="21"/>
              </w:rPr>
            </w:pPr>
            <w:r>
              <w:rPr>
                <w:rFonts w:hint="eastAsia"/>
                <w:szCs w:val="21"/>
              </w:rPr>
              <w:t>4</w:t>
            </w:r>
          </w:p>
        </w:tc>
        <w:tc>
          <w:tcPr>
            <w:tcW w:w="557" w:type="pct"/>
            <w:vAlign w:val="center"/>
          </w:tcPr>
          <w:p w14:paraId="1411BCA4">
            <w:pPr>
              <w:adjustRightInd w:val="0"/>
              <w:snapToGrid w:val="0"/>
              <w:jc w:val="center"/>
              <w:rPr>
                <w:szCs w:val="21"/>
              </w:rPr>
            </w:pPr>
            <w:r>
              <w:rPr>
                <w:rFonts w:hint="eastAsia"/>
                <w:szCs w:val="21"/>
              </w:rPr>
              <w:t>其他岗</w:t>
            </w:r>
          </w:p>
        </w:tc>
        <w:tc>
          <w:tcPr>
            <w:tcW w:w="486" w:type="pct"/>
            <w:vAlign w:val="center"/>
          </w:tcPr>
          <w:p w14:paraId="52EF01E9">
            <w:pPr>
              <w:adjustRightInd w:val="0"/>
              <w:snapToGrid w:val="0"/>
              <w:jc w:val="center"/>
              <w:rPr>
                <w:szCs w:val="21"/>
              </w:rPr>
            </w:pPr>
            <w:r>
              <w:rPr>
                <w:rFonts w:hint="eastAsia"/>
                <w:szCs w:val="21"/>
              </w:rPr>
              <w:t>9100</w:t>
            </w:r>
          </w:p>
        </w:tc>
        <w:tc>
          <w:tcPr>
            <w:tcW w:w="1449" w:type="pct"/>
            <w:vAlign w:val="center"/>
          </w:tcPr>
          <w:p w14:paraId="2228F14D">
            <w:pPr>
              <w:adjustRightInd w:val="0"/>
              <w:snapToGrid w:val="0"/>
              <w:jc w:val="left"/>
              <w:rPr>
                <w:szCs w:val="21"/>
              </w:rPr>
            </w:pPr>
            <w:r>
              <w:rPr>
                <w:rFonts w:hint="eastAsia" w:ascii="宋体" w:hAnsi="宋体"/>
                <w:szCs w:val="21"/>
              </w:rPr>
              <w:t>与中级岗位人员一致</w:t>
            </w:r>
          </w:p>
        </w:tc>
        <w:tc>
          <w:tcPr>
            <w:tcW w:w="1661" w:type="pct"/>
            <w:vAlign w:val="center"/>
          </w:tcPr>
          <w:p w14:paraId="0389A342">
            <w:pPr>
              <w:adjustRightInd w:val="0"/>
              <w:snapToGrid w:val="0"/>
              <w:jc w:val="left"/>
              <w:rPr>
                <w:rFonts w:ascii="宋体" w:hAnsi="宋体"/>
                <w:szCs w:val="21"/>
              </w:rPr>
            </w:pPr>
            <w:r>
              <w:rPr>
                <w:rFonts w:hint="eastAsia" w:ascii="宋体" w:hAnsi="宋体"/>
                <w:szCs w:val="21"/>
              </w:rPr>
              <w:t>其他业务和技术运维服务（需满足值班、夜班、加班、紧急等工作要求）</w:t>
            </w:r>
          </w:p>
        </w:tc>
        <w:tc>
          <w:tcPr>
            <w:tcW w:w="528" w:type="pct"/>
          </w:tcPr>
          <w:p w14:paraId="1644134A">
            <w:pPr>
              <w:adjustRightInd w:val="0"/>
              <w:snapToGrid w:val="0"/>
              <w:rPr>
                <w:szCs w:val="21"/>
              </w:rPr>
            </w:pPr>
          </w:p>
          <w:p w14:paraId="7FBE496B">
            <w:pPr>
              <w:adjustRightInd w:val="0"/>
              <w:snapToGrid w:val="0"/>
              <w:rPr>
                <w:szCs w:val="21"/>
              </w:rPr>
            </w:pPr>
            <w:r>
              <w:rPr>
                <w:rFonts w:hint="eastAsia"/>
                <w:szCs w:val="21"/>
              </w:rPr>
              <w:t>工作时间驻场</w:t>
            </w:r>
          </w:p>
        </w:tc>
      </w:tr>
    </w:tbl>
    <w:p w14:paraId="78A4669F">
      <w:pPr>
        <w:spacing w:line="360" w:lineRule="auto"/>
        <w:ind w:firstLine="448" w:firstLineChars="200"/>
        <w:rPr>
          <w:sz w:val="24"/>
        </w:rPr>
      </w:pPr>
      <w:r>
        <w:rPr>
          <w:rFonts w:hint="eastAsia"/>
          <w:sz w:val="24"/>
        </w:rPr>
        <w:t>（二）岗位工作技能要求</w:t>
      </w:r>
    </w:p>
    <w:p w14:paraId="7A2F4BF0">
      <w:pPr>
        <w:spacing w:line="360" w:lineRule="auto"/>
        <w:ind w:firstLine="448" w:firstLineChars="200"/>
        <w:rPr>
          <w:sz w:val="24"/>
        </w:rPr>
      </w:pPr>
      <w:r>
        <w:rPr>
          <w:rFonts w:hint="eastAsia"/>
          <w:sz w:val="24"/>
        </w:rPr>
        <w:t>熟悉国产化、非国产化主流系统软件和应用软件，能够熟练掌握本项目系统架构、相关的使用操作流程、相关业务及常见问题的解决方法，独立接听、解答用户所提出的各种问题并进行相应的问题及回复记录。能够测试可复现的软件问题缺陷、填写转出服务请求单，开展日清册的检查，并根据质检结果进行个人分析改进等。能够承担税收知识库建设工作，将各软件使用中出现的各种问题提炼、加工、深化成为知识，不断完善培训资料，制作文字文档和音视频教程，供各级税务机关下载使用。</w:t>
      </w:r>
    </w:p>
    <w:p w14:paraId="0374AEA6">
      <w:pPr>
        <w:spacing w:line="360" w:lineRule="auto"/>
        <w:ind w:firstLine="448" w:firstLineChars="200"/>
        <w:rPr>
          <w:sz w:val="24"/>
        </w:rPr>
      </w:pPr>
      <w:r>
        <w:rPr>
          <w:rFonts w:hint="eastAsia"/>
          <w:sz w:val="24"/>
        </w:rPr>
        <w:t>（三）岗位管理保障要求</w:t>
      </w:r>
    </w:p>
    <w:p w14:paraId="5F1097F8">
      <w:pPr>
        <w:spacing w:line="360" w:lineRule="auto"/>
        <w:ind w:firstLine="448" w:firstLineChars="200"/>
        <w:rPr>
          <w:sz w:val="24"/>
        </w:rPr>
      </w:pPr>
      <w:r>
        <w:rPr>
          <w:rFonts w:hint="eastAsia"/>
          <w:sz w:val="24"/>
        </w:rPr>
        <w:t>1.运维人员受采购人和供应商双重管理，采购人的意见应作为运维人员业绩考核的重要依据。供应商应保证运维人员常驻采购人，并能完全胜任本项目所含各系统的运行维护工作。</w:t>
      </w:r>
    </w:p>
    <w:p w14:paraId="79A7260B">
      <w:pPr>
        <w:spacing w:line="360" w:lineRule="auto"/>
        <w:ind w:firstLine="448" w:firstLineChars="200"/>
        <w:rPr>
          <w:sz w:val="24"/>
        </w:rPr>
      </w:pPr>
      <w:r>
        <w:rPr>
          <w:rFonts w:hint="eastAsia"/>
          <w:sz w:val="24"/>
        </w:rPr>
        <w:t>2.供应商须保证运维人员的稳定性和连续性，运维人员确定后，不得随意更换。供应商须提前做好人力储备，如运维人员合同到期或申请离职，供应商必须提前一个月通知采购人，并立即从技术支持单位后备人员库中经考核，选拔出合格运维人员进行工作熟悉和交接，确保正常工作不受影响。正式更换前，供应商需正式提交书面申请，报采购人负责人审批后方可调整，人员交接过程应符合采购人相关要求。如果因供应商无法保证人员的连续性所造成的全部损失由供应商承担，并从费用中扣除。</w:t>
      </w:r>
    </w:p>
    <w:p w14:paraId="5D7EA37D">
      <w:pPr>
        <w:spacing w:line="360" w:lineRule="auto"/>
        <w:ind w:firstLine="448" w:firstLineChars="200"/>
        <w:rPr>
          <w:sz w:val="24"/>
        </w:rPr>
      </w:pPr>
      <w:r>
        <w:rPr>
          <w:rFonts w:hint="eastAsia"/>
          <w:sz w:val="24"/>
        </w:rPr>
        <w:t>3.运维人员应具备良好的职业道德。较强的责任心。良好的沟通能力。熟悉本系统相关业务域。具有一定的问题分析能力，能够及时准确的定位问题。</w:t>
      </w:r>
    </w:p>
    <w:p w14:paraId="258CC5D3">
      <w:pPr>
        <w:spacing w:line="360" w:lineRule="auto"/>
        <w:ind w:firstLine="448" w:firstLineChars="200"/>
        <w:rPr>
          <w:sz w:val="24"/>
        </w:rPr>
      </w:pPr>
      <w:r>
        <w:rPr>
          <w:rFonts w:hint="eastAsia"/>
          <w:sz w:val="24"/>
        </w:rPr>
        <w:t>4.运维人员工作能力和工作态度达不到维护工作要求的，采购人有权要求更换，供应商应及时更换相关人员。</w:t>
      </w:r>
    </w:p>
    <w:p w14:paraId="07FB8D30">
      <w:pPr>
        <w:spacing w:line="360" w:lineRule="auto"/>
        <w:ind w:firstLine="448" w:firstLineChars="200"/>
        <w:rPr>
          <w:sz w:val="24"/>
        </w:rPr>
      </w:pPr>
      <w:r>
        <w:rPr>
          <w:rFonts w:hint="eastAsia"/>
          <w:sz w:val="24"/>
        </w:rPr>
        <w:t>5.供应商和运维人员应严格遵守采购人的出勤、着装、安全等管理规定。在派驻期间，遵守采购人的工作作息时间，同时应按照采购人的要求，在工作需要的时候进行加班。</w:t>
      </w:r>
    </w:p>
    <w:p w14:paraId="0A9E2E27">
      <w:pPr>
        <w:spacing w:line="360" w:lineRule="auto"/>
        <w:ind w:firstLine="448" w:firstLineChars="200"/>
        <w:rPr>
          <w:sz w:val="24"/>
        </w:rPr>
      </w:pPr>
      <w:r>
        <w:rPr>
          <w:rFonts w:hint="eastAsia"/>
          <w:sz w:val="24"/>
        </w:rPr>
        <w:t>6.遇有疑难问题时，供应商应及时协调提供二线技术支持。</w:t>
      </w:r>
    </w:p>
    <w:p w14:paraId="682E6F73">
      <w:pPr>
        <w:spacing w:line="360" w:lineRule="auto"/>
        <w:ind w:firstLine="448" w:firstLineChars="200"/>
        <w:rPr>
          <w:sz w:val="24"/>
        </w:rPr>
      </w:pPr>
      <w:r>
        <w:rPr>
          <w:rFonts w:hint="eastAsia"/>
          <w:sz w:val="24"/>
        </w:rPr>
        <w:t>7.供应商和运维人员应对采购人负责，按照授权进行工作，不得从事不在授权内的工作内容。因供应商派出的运维人员自身原因造成工作失误，给采购人造成损失的，供应商应承担赔偿责任。</w:t>
      </w:r>
    </w:p>
    <w:p w14:paraId="7E698BC2">
      <w:pPr>
        <w:spacing w:line="360" w:lineRule="auto"/>
        <w:ind w:firstLine="448" w:firstLineChars="200"/>
        <w:rPr>
          <w:sz w:val="24"/>
        </w:rPr>
      </w:pPr>
      <w:r>
        <w:rPr>
          <w:rFonts w:hint="eastAsia"/>
          <w:sz w:val="24"/>
        </w:rPr>
        <w:t>8.供应商和运维人员应按采购人要求协助开展其它工作。</w:t>
      </w:r>
    </w:p>
    <w:p w14:paraId="6BB78B10">
      <w:pPr>
        <w:spacing w:line="360" w:lineRule="auto"/>
        <w:ind w:firstLine="448" w:firstLineChars="200"/>
        <w:rPr>
          <w:sz w:val="24"/>
        </w:rPr>
      </w:pPr>
      <w:r>
        <w:rPr>
          <w:rFonts w:hint="eastAsia"/>
          <w:sz w:val="24"/>
        </w:rPr>
        <w:t>六</w:t>
      </w:r>
      <w:r>
        <w:rPr>
          <w:sz w:val="24"/>
        </w:rPr>
        <w:t>、</w:t>
      </w:r>
      <w:r>
        <w:rPr>
          <w:rFonts w:hint="eastAsia"/>
          <w:sz w:val="24"/>
        </w:rPr>
        <w:t>管理实施要求</w:t>
      </w:r>
    </w:p>
    <w:p w14:paraId="0B695F6E">
      <w:pPr>
        <w:spacing w:line="360" w:lineRule="auto"/>
        <w:ind w:firstLine="448" w:firstLineChars="200"/>
        <w:rPr>
          <w:sz w:val="24"/>
        </w:rPr>
      </w:pPr>
      <w:r>
        <w:rPr>
          <w:rFonts w:hint="eastAsia"/>
          <w:sz w:val="24"/>
        </w:rPr>
        <w:t>1、供应商应成立项目管理组织，严格遵守本项目业务管控、架构管控、项目管控的要求。</w:t>
      </w:r>
    </w:p>
    <w:p w14:paraId="1C206DDB">
      <w:pPr>
        <w:spacing w:line="360" w:lineRule="auto"/>
        <w:ind w:firstLine="448" w:firstLineChars="200"/>
        <w:rPr>
          <w:sz w:val="24"/>
        </w:rPr>
      </w:pPr>
      <w:r>
        <w:rPr>
          <w:rFonts w:hint="eastAsia"/>
          <w:sz w:val="24"/>
        </w:rPr>
        <w:t>2、供应商应基于成熟的项目管理方法论，制订完善的项目管理制度、流程，合理划分项目管理的阶段，借助工程管理工具，在项目实施过程中对项目进行规范化管理，确保项目实施进度和实施质量。</w:t>
      </w:r>
    </w:p>
    <w:p w14:paraId="590BEAC9">
      <w:pPr>
        <w:spacing w:line="360" w:lineRule="auto"/>
        <w:ind w:firstLine="448" w:firstLineChars="200"/>
        <w:rPr>
          <w:sz w:val="24"/>
        </w:rPr>
      </w:pPr>
      <w:r>
        <w:rPr>
          <w:rFonts w:hint="eastAsia"/>
          <w:sz w:val="24"/>
        </w:rPr>
        <w:t>3、供应商应提供项目管理方案，应覆盖进度管理、范围管理、需求管理、质量管理、资源管理、沟通管理等。</w:t>
      </w:r>
    </w:p>
    <w:p w14:paraId="0DEB073C">
      <w:pPr>
        <w:spacing w:line="360" w:lineRule="auto"/>
        <w:ind w:firstLine="448" w:firstLineChars="200"/>
        <w:rPr>
          <w:sz w:val="24"/>
        </w:rPr>
      </w:pPr>
      <w:r>
        <w:rPr>
          <w:rFonts w:hint="eastAsia"/>
          <w:sz w:val="24"/>
        </w:rPr>
        <w:t>4、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14:paraId="3BDE17ED">
      <w:pPr>
        <w:spacing w:line="360" w:lineRule="auto"/>
        <w:ind w:firstLine="448" w:firstLineChars="200"/>
        <w:rPr>
          <w:sz w:val="24"/>
        </w:rPr>
      </w:pPr>
      <w:r>
        <w:rPr>
          <w:rFonts w:hint="eastAsia"/>
          <w:sz w:val="24"/>
        </w:rPr>
        <w:t>5、供应商应提供合理的技术、运维力量配置及工作量单价。</w:t>
      </w:r>
    </w:p>
    <w:p w14:paraId="3E0496AB">
      <w:pPr>
        <w:spacing w:line="360" w:lineRule="auto"/>
        <w:ind w:firstLine="448" w:firstLineChars="200"/>
        <w:rPr>
          <w:sz w:val="24"/>
        </w:rPr>
      </w:pPr>
      <w:r>
        <w:rPr>
          <w:rFonts w:hint="eastAsia"/>
          <w:sz w:val="24"/>
        </w:rPr>
        <w:t>6、在项目实施工程中，采购人可能根据实际情况，在不改变工作量的情况下调整项目运维要求，供应商应充分考虑、无条件满足采购人的要求，采购人对此不再额外付费。</w:t>
      </w:r>
    </w:p>
    <w:p w14:paraId="4D6824C0">
      <w:pPr>
        <w:spacing w:line="360" w:lineRule="auto"/>
        <w:ind w:firstLine="448" w:firstLineChars="200"/>
        <w:rPr>
          <w:sz w:val="24"/>
        </w:rPr>
      </w:pPr>
      <w:r>
        <w:rPr>
          <w:rFonts w:hint="eastAsia"/>
          <w:sz w:val="24"/>
        </w:rPr>
        <w:t>七</w:t>
      </w:r>
      <w:r>
        <w:rPr>
          <w:sz w:val="24"/>
        </w:rPr>
        <w:t>、</w:t>
      </w:r>
      <w:r>
        <w:rPr>
          <w:rFonts w:hint="eastAsia"/>
          <w:sz w:val="24"/>
        </w:rPr>
        <w:t>保密要求</w:t>
      </w:r>
    </w:p>
    <w:p w14:paraId="1C7EFDCC">
      <w:pPr>
        <w:spacing w:line="360" w:lineRule="auto"/>
        <w:ind w:firstLine="448" w:firstLineChars="200"/>
        <w:rPr>
          <w:sz w:val="24"/>
        </w:rPr>
      </w:pPr>
      <w:r>
        <w:rPr>
          <w:rFonts w:hint="eastAsia"/>
          <w:sz w:val="24"/>
        </w:rPr>
        <w:t>1.供应商应严格落实国家税务总局天津市税务局网络安全保密管理要求，承担技术支持人员的安全和保密管理责任。按采购人要求签订供应商保密协议书和技术支持人员保密承诺书。</w:t>
      </w:r>
    </w:p>
    <w:p w14:paraId="4337C489">
      <w:pPr>
        <w:spacing w:line="360" w:lineRule="auto"/>
        <w:ind w:firstLine="448" w:firstLineChars="200"/>
        <w:rPr>
          <w:sz w:val="24"/>
        </w:rPr>
      </w:pPr>
      <w:r>
        <w:rPr>
          <w:rFonts w:hint="eastAsia"/>
          <w:sz w:val="24"/>
        </w:rPr>
        <w:t>2.供应商负责派驻技术支持人员背景审查工作，提供其身份证明、履历、家庭成员及主要社会关系、无犯罪记录证明、学历证明（《教育部学历证书电子注册备案表》）、劳动合同、社保和个税缴纳凭证等材料，提交信息备案表。</w:t>
      </w:r>
    </w:p>
    <w:p w14:paraId="4678F3AB">
      <w:pPr>
        <w:spacing w:line="360" w:lineRule="auto"/>
        <w:ind w:firstLine="448" w:firstLineChars="200"/>
        <w:rPr>
          <w:sz w:val="24"/>
        </w:rPr>
      </w:pPr>
      <w:r>
        <w:rPr>
          <w:rFonts w:hint="eastAsia"/>
          <w:sz w:val="24"/>
        </w:rPr>
        <w:t>3.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25A0E7E0">
      <w:pPr>
        <w:spacing w:line="360" w:lineRule="auto"/>
        <w:ind w:firstLine="448" w:firstLineChars="200"/>
        <w:rPr>
          <w:sz w:val="24"/>
        </w:rPr>
      </w:pPr>
      <w:r>
        <w:rPr>
          <w:rFonts w:hint="eastAsia"/>
          <w:sz w:val="24"/>
        </w:rPr>
        <w:t>4.对“保密责任”落实不严格、不到位，造成重大安全事件或产生负面影响的，按照合同中“其他终止合同情况”条款执行，并依照相关法律等规定进行追责。</w:t>
      </w:r>
    </w:p>
    <w:p w14:paraId="072C9710">
      <w:pPr>
        <w:spacing w:line="360" w:lineRule="auto"/>
        <w:ind w:firstLine="448" w:firstLineChars="200"/>
        <w:rPr>
          <w:sz w:val="24"/>
        </w:rPr>
      </w:pPr>
      <w:r>
        <w:rPr>
          <w:rFonts w:hint="eastAsia"/>
          <w:sz w:val="24"/>
        </w:rPr>
        <w:t>八</w:t>
      </w:r>
      <w:r>
        <w:rPr>
          <w:sz w:val="24"/>
        </w:rPr>
        <w:t>、</w:t>
      </w:r>
      <w:r>
        <w:rPr>
          <w:rFonts w:hint="eastAsia"/>
          <w:sz w:val="24"/>
        </w:rPr>
        <w:t>知识转移要求</w:t>
      </w:r>
    </w:p>
    <w:p w14:paraId="773564D2">
      <w:pPr>
        <w:spacing w:line="360" w:lineRule="auto"/>
        <w:ind w:firstLine="448" w:firstLineChars="200"/>
        <w:rPr>
          <w:sz w:val="24"/>
        </w:rPr>
      </w:pPr>
      <w:r>
        <w:rPr>
          <w:rFonts w:hint="eastAsia"/>
          <w:sz w:val="24"/>
        </w:rPr>
        <w:t>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14:paraId="1D391AC3">
      <w:pPr>
        <w:spacing w:line="360" w:lineRule="auto"/>
        <w:ind w:firstLine="448" w:firstLineChars="200"/>
        <w:rPr>
          <w:sz w:val="24"/>
        </w:rPr>
      </w:pPr>
      <w:r>
        <w:rPr>
          <w:rFonts w:hint="eastAsia"/>
          <w:sz w:val="24"/>
        </w:rPr>
        <w:t>九、风险管控要求</w:t>
      </w:r>
    </w:p>
    <w:p w14:paraId="15E45019">
      <w:pPr>
        <w:spacing w:line="360" w:lineRule="auto"/>
        <w:ind w:firstLine="448" w:firstLineChars="200"/>
        <w:rPr>
          <w:sz w:val="24"/>
        </w:rPr>
      </w:pPr>
      <w:r>
        <w:rPr>
          <w:rFonts w:hint="eastAsia"/>
          <w:sz w:val="24"/>
        </w:rPr>
        <w:t>1.风险管控总体要求</w:t>
      </w:r>
    </w:p>
    <w:p w14:paraId="31AFE11C">
      <w:pPr>
        <w:spacing w:line="360" w:lineRule="auto"/>
        <w:ind w:firstLine="448" w:firstLineChars="200"/>
        <w:rPr>
          <w:sz w:val="24"/>
        </w:rPr>
      </w:pPr>
      <w:r>
        <w:rPr>
          <w:rFonts w:hint="eastAsia"/>
          <w:sz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14:paraId="6F05A6C2">
      <w:pPr>
        <w:spacing w:line="360" w:lineRule="auto"/>
        <w:ind w:firstLine="448" w:firstLineChars="200"/>
        <w:rPr>
          <w:sz w:val="24"/>
        </w:rPr>
      </w:pPr>
      <w:r>
        <w:rPr>
          <w:rFonts w:hint="eastAsia"/>
          <w:sz w:val="24"/>
        </w:rPr>
        <w:t>2.风险管控具体要求</w:t>
      </w:r>
    </w:p>
    <w:p w14:paraId="1EC2DF57">
      <w:pPr>
        <w:spacing w:line="360" w:lineRule="auto"/>
        <w:ind w:firstLine="448" w:firstLineChars="200"/>
        <w:rPr>
          <w:sz w:val="24"/>
        </w:rPr>
      </w:pPr>
      <w:r>
        <w:rPr>
          <w:rFonts w:hint="eastAsia"/>
          <w:sz w:val="24"/>
        </w:rPr>
        <w:t>（1）风险管控内容要求</w:t>
      </w:r>
    </w:p>
    <w:p w14:paraId="2E467928">
      <w:pPr>
        <w:spacing w:line="360" w:lineRule="auto"/>
        <w:ind w:firstLine="448" w:firstLineChars="200"/>
        <w:rPr>
          <w:sz w:val="24"/>
        </w:rPr>
      </w:pPr>
      <w:r>
        <w:rPr>
          <w:rFonts w:hint="eastAsia"/>
          <w:sz w:val="24"/>
        </w:rPr>
        <w:t>一是管控人员流动风险：制定合理的薪酬体系和激励机制，避免因人员流动影响项目执行；二是管控运维风险：加强监控预警和安全防护，规范运维操作流程，避免因各种原因导致的事故。</w:t>
      </w:r>
    </w:p>
    <w:p w14:paraId="03014384">
      <w:pPr>
        <w:spacing w:line="360" w:lineRule="auto"/>
        <w:ind w:firstLine="448" w:firstLineChars="200"/>
        <w:rPr>
          <w:sz w:val="24"/>
        </w:rPr>
      </w:pPr>
      <w:r>
        <w:rPr>
          <w:rFonts w:hint="eastAsia"/>
          <w:sz w:val="24"/>
        </w:rPr>
        <w:t>（2）风险管控时间要求</w:t>
      </w:r>
    </w:p>
    <w:p w14:paraId="13326549">
      <w:pPr>
        <w:spacing w:line="360" w:lineRule="auto"/>
        <w:ind w:firstLine="448" w:firstLineChars="200"/>
        <w:rPr>
          <w:sz w:val="24"/>
        </w:rPr>
      </w:pPr>
      <w:r>
        <w:rPr>
          <w:rFonts w:hint="eastAsia"/>
          <w:sz w:val="24"/>
        </w:rPr>
        <w:t>签署合同后立即识别可能存在的风险；对已识别的风险进行评估和分析，确定风险的严重程度和影响范围；对已评估的风险进行持续监控，及时发现新风险；针对已识别的风险制定应对措施，并尽快实施。</w:t>
      </w:r>
    </w:p>
    <w:p w14:paraId="0DE548AC">
      <w:pPr>
        <w:spacing w:line="360" w:lineRule="auto"/>
        <w:ind w:firstLine="448" w:firstLineChars="200"/>
        <w:rPr>
          <w:sz w:val="24"/>
        </w:rPr>
      </w:pPr>
      <w:r>
        <w:rPr>
          <w:rFonts w:hint="eastAsia"/>
          <w:sz w:val="24"/>
        </w:rPr>
        <w:t>（3）风险管控形式要求</w:t>
      </w:r>
    </w:p>
    <w:p w14:paraId="504B57F9">
      <w:pPr>
        <w:spacing w:line="360" w:lineRule="auto"/>
        <w:ind w:firstLine="448" w:firstLineChars="200"/>
        <w:rPr>
          <w:sz w:val="24"/>
        </w:rPr>
      </w:pPr>
      <w:r>
        <w:rPr>
          <w:rFonts w:hint="eastAsia"/>
          <w:sz w:val="24"/>
        </w:rPr>
        <w:t>制定风险管理计划，明确风险管理目标、范围和责任人；建立风险管理组织，确保风险管理工作的有效实施；制定风险管理流程，包括风险识别、评估、监控、应对和报告等环节。</w:t>
      </w:r>
    </w:p>
    <w:p w14:paraId="14E9E37C">
      <w:pPr>
        <w:spacing w:line="360" w:lineRule="auto"/>
        <w:ind w:firstLine="448" w:firstLineChars="200"/>
        <w:rPr>
          <w:sz w:val="24"/>
        </w:rPr>
      </w:pPr>
      <w:r>
        <w:rPr>
          <w:rFonts w:hint="eastAsia"/>
          <w:sz w:val="24"/>
        </w:rPr>
        <w:t>十</w:t>
      </w:r>
      <w:r>
        <w:rPr>
          <w:sz w:val="24"/>
        </w:rPr>
        <w:t>、</w:t>
      </w:r>
      <w:r>
        <w:rPr>
          <w:rFonts w:hint="eastAsia"/>
          <w:sz w:val="24"/>
        </w:rPr>
        <w:t>履约验收要求</w:t>
      </w:r>
    </w:p>
    <w:tbl>
      <w:tblPr>
        <w:tblStyle w:val="22"/>
        <w:tblW w:w="5000" w:type="pct"/>
        <w:tblInd w:w="30" w:type="dxa"/>
        <w:tblLayout w:type="autofit"/>
        <w:tblCellMar>
          <w:top w:w="15" w:type="dxa"/>
          <w:left w:w="15" w:type="dxa"/>
          <w:bottom w:w="15" w:type="dxa"/>
          <w:right w:w="15" w:type="dxa"/>
        </w:tblCellMar>
      </w:tblPr>
      <w:tblGrid>
        <w:gridCol w:w="2686"/>
        <w:gridCol w:w="5670"/>
      </w:tblGrid>
      <w:tr w14:paraId="44CB94FD">
        <w:tblPrEx>
          <w:tblCellMar>
            <w:top w:w="15" w:type="dxa"/>
            <w:left w:w="15" w:type="dxa"/>
            <w:bottom w:w="15" w:type="dxa"/>
            <w:right w:w="15" w:type="dxa"/>
          </w:tblCellMar>
        </w:tblPrEx>
        <w:tc>
          <w:tcPr>
            <w:tcW w:w="1607"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72A33A9B">
            <w:pPr>
              <w:jc w:val="center"/>
              <w:rPr>
                <w:rFonts w:cs="仿宋_GB2312"/>
                <w:b/>
                <w:bCs/>
                <w:sz w:val="24"/>
                <w:szCs w:val="21"/>
              </w:rPr>
            </w:pPr>
            <w:r>
              <w:rPr>
                <w:rFonts w:cs="仿宋_GB2312"/>
                <w:b/>
                <w:bCs/>
                <w:sz w:val="24"/>
                <w:szCs w:val="21"/>
              </w:rPr>
              <w:t>验收名称</w:t>
            </w:r>
          </w:p>
        </w:tc>
        <w:tc>
          <w:tcPr>
            <w:tcW w:w="3393"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005A85A0">
            <w:pPr>
              <w:jc w:val="center"/>
              <w:rPr>
                <w:rFonts w:cs="仿宋_GB2312"/>
                <w:b/>
                <w:bCs/>
                <w:sz w:val="24"/>
                <w:szCs w:val="21"/>
              </w:rPr>
            </w:pPr>
            <w:r>
              <w:rPr>
                <w:rFonts w:cs="仿宋_GB2312"/>
                <w:b/>
                <w:bCs/>
                <w:sz w:val="24"/>
                <w:szCs w:val="21"/>
              </w:rPr>
              <w:t>验收要求</w:t>
            </w:r>
          </w:p>
        </w:tc>
      </w:tr>
      <w:tr w14:paraId="2B02ECF7">
        <w:tblPrEx>
          <w:tblCellMar>
            <w:top w:w="15" w:type="dxa"/>
            <w:left w:w="15" w:type="dxa"/>
            <w:bottom w:w="15" w:type="dxa"/>
            <w:right w:w="15" w:type="dxa"/>
          </w:tblCellMar>
        </w:tblPrEx>
        <w:tc>
          <w:tcPr>
            <w:tcW w:w="160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A5FD840">
            <w:pPr>
              <w:rPr>
                <w:rFonts w:cs="仿宋_GB2312"/>
                <w:sz w:val="24"/>
                <w:szCs w:val="21"/>
              </w:rPr>
            </w:pPr>
            <w:r>
              <w:rPr>
                <w:rFonts w:cs="仿宋_GB2312"/>
                <w:sz w:val="24"/>
                <w:szCs w:val="21"/>
              </w:rPr>
              <w:t>第1次验收</w:t>
            </w:r>
          </w:p>
        </w:tc>
        <w:tc>
          <w:tcPr>
            <w:tcW w:w="33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95519B8">
            <w:pPr>
              <w:rPr>
                <w:rFonts w:cs="仿宋_GB2312"/>
                <w:sz w:val="24"/>
                <w:szCs w:val="21"/>
              </w:rPr>
            </w:pPr>
            <w:r>
              <w:rPr>
                <w:rFonts w:cs="仿宋_GB2312"/>
                <w:sz w:val="24"/>
                <w:szCs w:val="21"/>
              </w:rPr>
              <w:t>项目工作进度或时间进度达到50%左右时进行阶段性验收</w:t>
            </w:r>
          </w:p>
        </w:tc>
      </w:tr>
      <w:tr w14:paraId="33617151">
        <w:tblPrEx>
          <w:tblCellMar>
            <w:top w:w="15" w:type="dxa"/>
            <w:left w:w="15" w:type="dxa"/>
            <w:bottom w:w="15" w:type="dxa"/>
            <w:right w:w="15" w:type="dxa"/>
          </w:tblCellMar>
        </w:tblPrEx>
        <w:tc>
          <w:tcPr>
            <w:tcW w:w="160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0A152C4">
            <w:pPr>
              <w:rPr>
                <w:rFonts w:cs="仿宋_GB2312"/>
                <w:sz w:val="24"/>
                <w:szCs w:val="21"/>
              </w:rPr>
            </w:pPr>
            <w:r>
              <w:rPr>
                <w:rFonts w:cs="仿宋_GB2312"/>
                <w:sz w:val="24"/>
                <w:szCs w:val="21"/>
              </w:rPr>
              <w:t>第2次验收</w:t>
            </w:r>
          </w:p>
        </w:tc>
        <w:tc>
          <w:tcPr>
            <w:tcW w:w="3393"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5D162B5">
            <w:pPr>
              <w:rPr>
                <w:rFonts w:cs="仿宋_GB2312"/>
                <w:sz w:val="24"/>
                <w:szCs w:val="21"/>
              </w:rPr>
            </w:pPr>
            <w:r>
              <w:rPr>
                <w:rFonts w:cs="仿宋_GB2312"/>
                <w:sz w:val="24"/>
                <w:szCs w:val="21"/>
              </w:rPr>
              <w:t>项目执行完毕后进行终期验收</w:t>
            </w:r>
          </w:p>
        </w:tc>
      </w:tr>
    </w:tbl>
    <w:p w14:paraId="0BF6A1E6">
      <w:pPr>
        <w:spacing w:line="360" w:lineRule="auto"/>
        <w:ind w:firstLine="448" w:firstLineChars="200"/>
        <w:rPr>
          <w:sz w:val="24"/>
        </w:rPr>
      </w:pPr>
      <w:r>
        <w:rPr>
          <w:rFonts w:hint="eastAsia"/>
          <w:sz w:val="24"/>
        </w:rPr>
        <w:t>1.验收工作由采购人组织实施，采购人、供应商和第三方验收公司等共同参与。</w:t>
      </w:r>
    </w:p>
    <w:p w14:paraId="7F033FE0">
      <w:pPr>
        <w:spacing w:line="360" w:lineRule="auto"/>
        <w:ind w:firstLine="448" w:firstLineChars="200"/>
        <w:rPr>
          <w:sz w:val="24"/>
        </w:rPr>
      </w:pPr>
      <w:r>
        <w:rPr>
          <w:rFonts w:hint="eastAsia"/>
          <w:sz w:val="24"/>
        </w:rPr>
        <w:t>2.供应商在满足验收条件后，提出项目验收申请，提交验收相关产出物，提供的各类文档应内容完整、描述清晰、经采购人确认后进行项目验收。</w:t>
      </w:r>
    </w:p>
    <w:p w14:paraId="48708C70">
      <w:pPr>
        <w:spacing w:line="360" w:lineRule="auto"/>
        <w:ind w:firstLine="448" w:firstLineChars="200"/>
        <w:rPr>
          <w:sz w:val="24"/>
        </w:rPr>
      </w:pPr>
      <w:r>
        <w:rPr>
          <w:rFonts w:hint="eastAsia"/>
          <w:sz w:val="24"/>
        </w:rPr>
        <w:t>3.以项目合同书、验收前双方确认的工作主要交付物、项目验收报告等作为验收依据。</w:t>
      </w:r>
    </w:p>
    <w:p w14:paraId="650EB5B9">
      <w:pPr>
        <w:spacing w:line="360" w:lineRule="auto"/>
        <w:ind w:firstLine="448" w:firstLineChars="200"/>
        <w:rPr>
          <w:sz w:val="24"/>
        </w:rPr>
      </w:pPr>
      <w:r>
        <w:rPr>
          <w:rFonts w:hint="eastAsia"/>
          <w:sz w:val="24"/>
        </w:rPr>
        <w:t>4.在服务期限内，供应商派出的运维人员应随时监控系统运行状态，做好事件记录，按照要求出具系统运行监控报告。</w:t>
      </w:r>
    </w:p>
    <w:p w14:paraId="31C0F2AC">
      <w:pPr>
        <w:spacing w:line="360" w:lineRule="auto"/>
        <w:ind w:firstLine="448" w:firstLineChars="200"/>
        <w:rPr>
          <w:sz w:val="24"/>
        </w:rPr>
      </w:pPr>
      <w:r>
        <w:rPr>
          <w:rFonts w:hint="eastAsia"/>
          <w:sz w:val="24"/>
        </w:rPr>
        <w:t>5.供应商按月提交工作日志和健康检查报告等运维产出物。提交报告数量、质量及采购人出具的评价意见作为验收依据。评价意见中工时统计来源至少包含考勤、堡垒机、工单、加班审批等数据。</w:t>
      </w:r>
    </w:p>
    <w:p w14:paraId="3B78EB1D">
      <w:pPr>
        <w:spacing w:line="360" w:lineRule="auto"/>
        <w:ind w:firstLine="448" w:firstLineChars="200"/>
        <w:rPr>
          <w:sz w:val="24"/>
        </w:rPr>
      </w:pPr>
      <w:r>
        <w:rPr>
          <w:rFonts w:hint="eastAsia"/>
          <w:sz w:val="24"/>
        </w:rPr>
        <w:t>十一、其他要求</w:t>
      </w:r>
    </w:p>
    <w:p w14:paraId="431C04DB">
      <w:pPr>
        <w:spacing w:line="360" w:lineRule="auto"/>
        <w:ind w:firstLine="448" w:firstLineChars="200"/>
        <w:rPr>
          <w:sz w:val="24"/>
        </w:rPr>
      </w:pPr>
      <w:r>
        <w:rPr>
          <w:rFonts w:hint="eastAsia"/>
          <w:sz w:val="24"/>
        </w:rPr>
        <w:t>★（一）税收信息化项目开发和应用管理工作要求</w:t>
      </w:r>
    </w:p>
    <w:p w14:paraId="7F6D8FFC">
      <w:pPr>
        <w:spacing w:line="360" w:lineRule="auto"/>
        <w:ind w:firstLine="448" w:firstLineChars="200"/>
        <w:rPr>
          <w:sz w:val="24"/>
        </w:rPr>
      </w:pPr>
      <w:r>
        <w:rPr>
          <w:rFonts w:hint="eastAsia"/>
          <w:sz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14:paraId="432ECDCB">
      <w:pPr>
        <w:spacing w:line="360" w:lineRule="auto"/>
        <w:ind w:firstLine="448" w:firstLineChars="200"/>
        <w:rPr>
          <w:sz w:val="24"/>
        </w:rPr>
      </w:pPr>
      <w:r>
        <w:rPr>
          <w:rFonts w:hint="eastAsia"/>
          <w:sz w:val="24"/>
        </w:rPr>
        <w:t>★（二）供应链安全管理要求</w:t>
      </w:r>
    </w:p>
    <w:p w14:paraId="390C203C">
      <w:pPr>
        <w:spacing w:line="360" w:lineRule="auto"/>
        <w:ind w:firstLine="448" w:firstLineChars="200"/>
        <w:rPr>
          <w:sz w:val="24"/>
        </w:rPr>
      </w:pPr>
      <w:r>
        <w:rPr>
          <w:rFonts w:hint="eastAsia"/>
          <w:sz w:val="24"/>
        </w:rPr>
        <w:t>1、人员资格要求</w:t>
      </w:r>
    </w:p>
    <w:p w14:paraId="2ADB2F3A">
      <w:pPr>
        <w:spacing w:line="360" w:lineRule="auto"/>
        <w:ind w:firstLine="448" w:firstLineChars="200"/>
        <w:rPr>
          <w:sz w:val="24"/>
        </w:rPr>
      </w:pPr>
      <w:r>
        <w:rPr>
          <w:rFonts w:hint="eastAsia"/>
          <w:sz w:val="24"/>
        </w:rPr>
        <w:t>（1）签订承诺书。供应商应严格落实国家税务总局网络安全和保密管理要求，承担技术支持人员的网络安全和保密管理责任，按采购人要求签订协议和承诺书。</w:t>
      </w:r>
    </w:p>
    <w:p w14:paraId="14983C51">
      <w:pPr>
        <w:spacing w:line="360" w:lineRule="auto"/>
        <w:ind w:firstLine="448" w:firstLineChars="200"/>
        <w:rPr>
          <w:sz w:val="24"/>
        </w:rPr>
      </w:pPr>
      <w:r>
        <w:rPr>
          <w:rFonts w:hint="eastAsia"/>
          <w:sz w:val="24"/>
        </w:rPr>
        <w:t>（2）开展背景审查。供应商承担技术支持人员背景审查工作，提供其身份证明、履历、家庭成员及主要社会关系、无犯罪记录证明等材料，并提交采购人进行备案。</w:t>
      </w:r>
    </w:p>
    <w:p w14:paraId="39DDFC6D">
      <w:pPr>
        <w:spacing w:line="360" w:lineRule="auto"/>
        <w:ind w:firstLine="448" w:firstLineChars="200"/>
        <w:rPr>
          <w:sz w:val="24"/>
        </w:rPr>
      </w:pPr>
      <w:r>
        <w:rPr>
          <w:rFonts w:hint="eastAsia"/>
          <w:sz w:val="24"/>
        </w:rPr>
        <w:t>（3）设置网络安全负责人（由驻场运维人员兼任）。供应商为本项目配备一名网络安全负责人，该负责人具备独立决策能力并保持相对稳定，在项目实施的全过程负责网络安全工作，组织落实各项网络安全要求。</w:t>
      </w:r>
    </w:p>
    <w:p w14:paraId="3E78091D">
      <w:pPr>
        <w:spacing w:line="360" w:lineRule="auto"/>
        <w:ind w:firstLine="448" w:firstLineChars="200"/>
        <w:rPr>
          <w:sz w:val="24"/>
        </w:rPr>
      </w:pPr>
      <w:r>
        <w:rPr>
          <w:rFonts w:hint="eastAsia"/>
          <w:sz w:val="24"/>
        </w:rPr>
        <w:t>2、日常行为规范要求</w:t>
      </w:r>
    </w:p>
    <w:p w14:paraId="40D14E0E">
      <w:pPr>
        <w:spacing w:line="360" w:lineRule="auto"/>
        <w:ind w:firstLine="448" w:firstLineChars="200"/>
        <w:rPr>
          <w:sz w:val="24"/>
        </w:rPr>
      </w:pPr>
      <w:r>
        <w:rPr>
          <w:rFonts w:hint="eastAsia"/>
          <w:sz w:val="24"/>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12EB8926">
      <w:pPr>
        <w:spacing w:line="360" w:lineRule="auto"/>
        <w:ind w:firstLine="448" w:firstLineChars="200"/>
        <w:rPr>
          <w:sz w:val="24"/>
        </w:rPr>
      </w:pPr>
      <w:r>
        <w:rPr>
          <w:rFonts w:hint="eastAsia"/>
          <w:sz w:val="24"/>
        </w:rPr>
        <w:t>（2）教育培训要求。供应商负责对技术支持人员进行网络和数据安全法律法规、网络安全意识、网络安全管理、网络安全技能、保密意识以及网络安全警示教育等培训，上岗前对其进行考核。</w:t>
      </w:r>
    </w:p>
    <w:p w14:paraId="74C412C7">
      <w:pPr>
        <w:spacing w:line="360" w:lineRule="auto"/>
        <w:ind w:firstLine="448" w:firstLineChars="200"/>
        <w:rPr>
          <w:sz w:val="24"/>
        </w:rPr>
      </w:pPr>
      <w:r>
        <w:rPr>
          <w:rFonts w:hint="eastAsia"/>
          <w:sz w:val="24"/>
        </w:rPr>
        <w:t>3、违约惩戒措施</w:t>
      </w:r>
    </w:p>
    <w:p w14:paraId="3C4DD0AC">
      <w:pPr>
        <w:spacing w:line="360" w:lineRule="auto"/>
        <w:ind w:firstLine="448" w:firstLineChars="200"/>
        <w:rPr>
          <w:sz w:val="24"/>
        </w:rPr>
      </w:pPr>
      <w:r>
        <w:rPr>
          <w:rFonts w:hint="eastAsia"/>
          <w:sz w:val="24"/>
        </w:rPr>
        <w:t>供应商对供应链安全管理责任落实不到位，造成安全事件或产生不良影响的，采购人按照法律法规及合同约定进行处理。</w:t>
      </w:r>
    </w:p>
    <w:p w14:paraId="741998CB">
      <w:pPr>
        <w:spacing w:line="360" w:lineRule="auto"/>
        <w:ind w:firstLine="448" w:firstLineChars="200"/>
        <w:rPr>
          <w:sz w:val="24"/>
        </w:rPr>
      </w:pPr>
      <w:r>
        <w:rPr>
          <w:rFonts w:hint="eastAsia"/>
          <w:sz w:val="24"/>
        </w:rPr>
        <w:t>★（三）信息化服务运维人员要求</w:t>
      </w:r>
    </w:p>
    <w:p w14:paraId="2A03D0C8">
      <w:pPr>
        <w:spacing w:line="360" w:lineRule="auto"/>
        <w:ind w:firstLine="448" w:firstLineChars="200"/>
        <w:rPr>
          <w:sz w:val="24"/>
        </w:rPr>
      </w:pPr>
      <w:r>
        <w:rPr>
          <w:rFonts w:hint="eastAsia"/>
          <w:sz w:val="24"/>
        </w:rPr>
        <w:t>本项目涉及信息化服务运维人员的，运维人员应当是运维单位的正式人员，或者是与运维单位签订1年以上劳动合同且实际工作满1年的人员，常驻运维人员应当为技术骨干。</w:t>
      </w:r>
    </w:p>
    <w:p w14:paraId="3C1E1219">
      <w:pPr>
        <w:spacing w:line="360" w:lineRule="auto"/>
        <w:ind w:firstLine="448" w:firstLineChars="200"/>
        <w:rPr>
          <w:sz w:val="24"/>
        </w:rPr>
      </w:pPr>
      <w:r>
        <w:rPr>
          <w:rFonts w:hint="eastAsia"/>
          <w:sz w:val="24"/>
        </w:rPr>
        <w:t>1.本项目涉及信息化服务运维人员的，运维人员应当是运维单位的正式人员，或者是与运维单位签订1年以上劳动合同且实际工作满1年的人员，常驻运维人员应当为技术骨干。</w:t>
      </w:r>
    </w:p>
    <w:p w14:paraId="7922B51D">
      <w:pPr>
        <w:spacing w:line="360" w:lineRule="auto"/>
        <w:ind w:firstLine="448" w:firstLineChars="200"/>
        <w:rPr>
          <w:sz w:val="24"/>
        </w:rPr>
      </w:pPr>
      <w:r>
        <w:rPr>
          <w:rFonts w:hint="eastAsia"/>
          <w:sz w:val="24"/>
        </w:rPr>
        <w:t>2.严格控制运维人员处理内部文件、获取税务数据的范围和权限，包括不得随意将携带的电脑和移动存储介质接入税务专网。</w:t>
      </w:r>
    </w:p>
    <w:p w14:paraId="444F09F4">
      <w:pPr>
        <w:spacing w:line="360" w:lineRule="auto"/>
        <w:ind w:firstLine="448" w:firstLineChars="200"/>
        <w:rPr>
          <w:sz w:val="24"/>
        </w:rPr>
      </w:pPr>
      <w:r>
        <w:rPr>
          <w:rFonts w:hint="eastAsia"/>
          <w:sz w:val="24"/>
        </w:rPr>
        <w:t>3.严格内外网管理，未经允许，不得擅自从内网拷贝并向外携带办公区数据、文档、程序等信息资源，确因工作需要，须填写申请，报主管应用系统负责人审批，并经运维支持中心备案后，方可实施相关操作。外网的数据进入内网，必须在指定计算机上，并进行严格检查杀毒后，方可进入内网，避免将病毒或木马等带入。</w:t>
      </w:r>
    </w:p>
    <w:p w14:paraId="0025B441">
      <w:pPr>
        <w:spacing w:line="360" w:lineRule="auto"/>
        <w:ind w:firstLine="448" w:firstLineChars="200"/>
        <w:rPr>
          <w:sz w:val="24"/>
        </w:rPr>
      </w:pPr>
      <w:r>
        <w:rPr>
          <w:rFonts w:hint="eastAsia"/>
          <w:sz w:val="24"/>
        </w:rPr>
        <w:t>4.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14:paraId="081ACCD2">
      <w:pPr>
        <w:spacing w:line="360" w:lineRule="auto"/>
        <w:ind w:firstLine="448" w:firstLineChars="200"/>
        <w:rPr>
          <w:sz w:val="24"/>
        </w:rPr>
      </w:pPr>
      <w:r>
        <w:rPr>
          <w:rFonts w:hint="eastAsia"/>
          <w:sz w:val="24"/>
        </w:rPr>
        <w:t>（四）运行维护保障要求</w:t>
      </w:r>
    </w:p>
    <w:p w14:paraId="155E5ED1">
      <w:pPr>
        <w:spacing w:line="360" w:lineRule="auto"/>
        <w:ind w:firstLine="448" w:firstLineChars="200"/>
        <w:rPr>
          <w:sz w:val="24"/>
        </w:rPr>
      </w:pPr>
      <w:r>
        <w:rPr>
          <w:rFonts w:hint="eastAsia"/>
          <w:sz w:val="24"/>
        </w:rPr>
        <w:t>1.供应商在运行维护中出现运行故障（不可抗力因素除外）或发现违规操作，30分钟内未主动上报采购单位的，给予警告，并按次扣除合同总价款1‰的金额；合同生效期间累计扣除不超过合同总价款5%的金额。</w:t>
      </w:r>
    </w:p>
    <w:p w14:paraId="4A41DEB1">
      <w:pPr>
        <w:spacing w:line="360" w:lineRule="auto"/>
        <w:ind w:firstLine="448" w:firstLineChars="200"/>
        <w:rPr>
          <w:sz w:val="24"/>
        </w:rPr>
      </w:pPr>
      <w:r>
        <w:rPr>
          <w:rFonts w:hint="eastAsia"/>
          <w:sz w:val="24"/>
        </w:rPr>
        <w:t>2.供应商在运行维护中出现巡检不及时、不到位的，按次扣除合同总价款1‰的金额；合同生效期间累计扣除不超过合同总价款的5%。</w:t>
      </w:r>
    </w:p>
    <w:p w14:paraId="3911DD89">
      <w:pPr>
        <w:spacing w:line="360" w:lineRule="auto"/>
        <w:ind w:firstLine="448" w:firstLineChars="200"/>
        <w:rPr>
          <w:sz w:val="24"/>
        </w:rPr>
      </w:pPr>
      <w:r>
        <w:rPr>
          <w:rFonts w:hint="eastAsia"/>
          <w:sz w:val="24"/>
        </w:rPr>
        <w:t>3.供应商负责运维业务系统出现运行故障（不可抗力因素除外），采购人将根据故障频率和恢复时间（故障频率和持续时间判定以采购人通报为准），扣除合同总价款一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14:paraId="1947EA4A">
      <w:pPr>
        <w:spacing w:line="360" w:lineRule="auto"/>
        <w:ind w:firstLine="448" w:firstLineChars="200"/>
        <w:rPr>
          <w:sz w:val="24"/>
        </w:rPr>
      </w:pPr>
      <w:r>
        <w:rPr>
          <w:rFonts w:hint="eastAsia"/>
          <w:sz w:val="24"/>
        </w:rPr>
        <w:t>（五）廉政要求</w:t>
      </w:r>
    </w:p>
    <w:p w14:paraId="1BC87A15">
      <w:pPr>
        <w:spacing w:line="360" w:lineRule="auto"/>
        <w:ind w:firstLine="448" w:firstLineChars="200"/>
        <w:rPr>
          <w:sz w:val="24"/>
        </w:rPr>
      </w:pPr>
      <w:r>
        <w:rPr>
          <w:rFonts w:hint="eastAsia"/>
          <w:sz w:val="24"/>
        </w:rPr>
        <w:t>供应商在参与税务部门信息化项目工作过程中，需严格遵守法律法规、规范履行合同，积极协助税务部门开展廉政风险防控工作，严格遵守并落实如下要求：</w:t>
      </w:r>
    </w:p>
    <w:p w14:paraId="2C30797D">
      <w:pPr>
        <w:spacing w:line="360" w:lineRule="auto"/>
        <w:ind w:firstLine="448" w:firstLineChars="200"/>
        <w:rPr>
          <w:sz w:val="24"/>
        </w:rPr>
      </w:pPr>
      <w:r>
        <w:rPr>
          <w:rFonts w:hint="eastAsia"/>
          <w:sz w:val="24"/>
        </w:rPr>
        <w:t>1.积极发挥廉政风险防控正向作用</w:t>
      </w:r>
    </w:p>
    <w:p w14:paraId="6A33FE3A">
      <w:pPr>
        <w:spacing w:line="360" w:lineRule="auto"/>
        <w:ind w:firstLine="448" w:firstLineChars="200"/>
        <w:rPr>
          <w:sz w:val="24"/>
        </w:rPr>
      </w:pPr>
      <w:r>
        <w:rPr>
          <w:rFonts w:hint="eastAsia"/>
          <w:sz w:val="24"/>
        </w:rPr>
        <w:t>供应商有义务配合税务部门在信息化项目工作中加强廉政风险防控，执行有关措施。</w:t>
      </w:r>
    </w:p>
    <w:p w14:paraId="48C49B5A">
      <w:pPr>
        <w:spacing w:line="360" w:lineRule="auto"/>
        <w:ind w:firstLine="448" w:firstLineChars="200"/>
        <w:rPr>
          <w:sz w:val="24"/>
        </w:rPr>
      </w:pPr>
      <w:r>
        <w:rPr>
          <w:rFonts w:hint="eastAsia"/>
          <w:sz w:val="24"/>
        </w:rPr>
        <w:t>2.健全廉政风险防控机制</w:t>
      </w:r>
    </w:p>
    <w:p w14:paraId="7D48CEC8">
      <w:pPr>
        <w:spacing w:line="360" w:lineRule="auto"/>
        <w:ind w:firstLine="448" w:firstLineChars="200"/>
        <w:rPr>
          <w:sz w:val="24"/>
        </w:rPr>
      </w:pPr>
      <w:r>
        <w:rPr>
          <w:rFonts w:hint="eastAsia"/>
          <w:sz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3C50A2A3">
      <w:pPr>
        <w:spacing w:line="360" w:lineRule="auto"/>
        <w:ind w:firstLine="448" w:firstLineChars="200"/>
        <w:rPr>
          <w:sz w:val="24"/>
        </w:rPr>
      </w:pPr>
      <w:r>
        <w:rPr>
          <w:rFonts w:hint="eastAsia"/>
          <w:sz w:val="24"/>
        </w:rPr>
        <w:t>3.杜绝违纪违法行为</w:t>
      </w:r>
    </w:p>
    <w:p w14:paraId="2745F6A3">
      <w:pPr>
        <w:spacing w:line="360" w:lineRule="auto"/>
        <w:ind w:firstLine="448" w:firstLineChars="200"/>
        <w:rPr>
          <w:sz w:val="24"/>
        </w:rPr>
      </w:pPr>
      <w:r>
        <w:rPr>
          <w:rFonts w:hint="eastAsia"/>
          <w:sz w:val="24"/>
        </w:rPr>
        <w:t>供应商及相关项目人员必须严格遵守党纪国法，坚守职业道德，杜绝任何形式的利益输送、权力寻租等违纪违法行为，对采购人不得实施以下行为：</w:t>
      </w:r>
    </w:p>
    <w:p w14:paraId="53A01E7B">
      <w:pPr>
        <w:spacing w:line="360" w:lineRule="auto"/>
        <w:ind w:firstLine="448" w:firstLineChars="200"/>
        <w:rPr>
          <w:sz w:val="24"/>
        </w:rPr>
      </w:pPr>
      <w:r>
        <w:rPr>
          <w:rFonts w:hint="eastAsia"/>
          <w:sz w:val="24"/>
        </w:rPr>
        <w:t>（1）以各种形式和名义提供礼品、礼金、电子红包、支付凭证、商业预付卡、名贵特产、有价证券、股权、其他金融产品等财物。</w:t>
      </w:r>
    </w:p>
    <w:p w14:paraId="31D8CC87">
      <w:pPr>
        <w:spacing w:line="360" w:lineRule="auto"/>
        <w:ind w:firstLine="448" w:firstLineChars="200"/>
        <w:rPr>
          <w:sz w:val="24"/>
        </w:rPr>
      </w:pPr>
      <w:r>
        <w:rPr>
          <w:rFonts w:hint="eastAsia"/>
          <w:sz w:val="24"/>
        </w:rPr>
        <w:t>（2）以各种形式和名义提供宴请、旅游、健身、娱乐、私人会所等活动安排；代付加班餐费、打车费等。</w:t>
      </w:r>
    </w:p>
    <w:p w14:paraId="4AE44102">
      <w:pPr>
        <w:spacing w:line="360" w:lineRule="auto"/>
        <w:ind w:firstLine="448" w:firstLineChars="200"/>
        <w:rPr>
          <w:sz w:val="24"/>
        </w:rPr>
      </w:pPr>
      <w:r>
        <w:rPr>
          <w:rFonts w:hint="eastAsia"/>
          <w:sz w:val="24"/>
        </w:rPr>
        <w:t>（3）以讲课费、咨询费等名义，提供或变相提供报酬。</w:t>
      </w:r>
    </w:p>
    <w:p w14:paraId="17FA2D13">
      <w:pPr>
        <w:spacing w:line="360" w:lineRule="auto"/>
        <w:ind w:firstLine="448" w:firstLineChars="200"/>
        <w:rPr>
          <w:sz w:val="24"/>
        </w:rPr>
      </w:pPr>
      <w:r>
        <w:rPr>
          <w:rFonts w:hint="eastAsia"/>
          <w:sz w:val="24"/>
        </w:rPr>
        <w:t>（4）借款、借房、借车，报销应由个人负担的费用。</w:t>
      </w:r>
    </w:p>
    <w:p w14:paraId="2CCB09DF">
      <w:pPr>
        <w:spacing w:line="360" w:lineRule="auto"/>
        <w:ind w:firstLine="448" w:firstLineChars="200"/>
        <w:rPr>
          <w:sz w:val="24"/>
        </w:rPr>
      </w:pPr>
      <w:r>
        <w:rPr>
          <w:rFonts w:hint="eastAsia"/>
          <w:sz w:val="24"/>
        </w:rPr>
        <w:t>（5）以无偿、象征性地收取费用等方式提供家政、司机等服务劳务。</w:t>
      </w:r>
    </w:p>
    <w:p w14:paraId="4F1384F4">
      <w:pPr>
        <w:spacing w:line="360" w:lineRule="auto"/>
        <w:ind w:firstLine="448" w:firstLineChars="200"/>
        <w:rPr>
          <w:sz w:val="24"/>
        </w:rPr>
      </w:pPr>
      <w:r>
        <w:rPr>
          <w:rFonts w:hint="eastAsia"/>
          <w:sz w:val="24"/>
        </w:rPr>
        <w:t>（6）其他通过任何形式行贿或输送利益的行为。</w:t>
      </w:r>
    </w:p>
    <w:p w14:paraId="6B834C12">
      <w:pPr>
        <w:spacing w:line="360" w:lineRule="auto"/>
        <w:ind w:firstLine="448" w:firstLineChars="200"/>
        <w:rPr>
          <w:sz w:val="24"/>
        </w:rPr>
      </w:pPr>
      <w:r>
        <w:rPr>
          <w:rFonts w:hint="eastAsia"/>
          <w:sz w:val="24"/>
        </w:rPr>
        <w:t>4.信守承诺</w:t>
      </w:r>
    </w:p>
    <w:p w14:paraId="43B2D30F">
      <w:pPr>
        <w:spacing w:line="360" w:lineRule="auto"/>
        <w:ind w:firstLine="448" w:firstLineChars="200"/>
        <w:rPr>
          <w:sz w:val="24"/>
        </w:rPr>
      </w:pPr>
      <w:r>
        <w:rPr>
          <w:rFonts w:hint="eastAsia"/>
          <w:sz w:val="24"/>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6F55291A">
      <w:pPr>
        <w:spacing w:line="360" w:lineRule="auto"/>
        <w:ind w:firstLine="448" w:firstLineChars="200"/>
        <w:rPr>
          <w:sz w:val="24"/>
        </w:rPr>
      </w:pPr>
      <w:r>
        <w:rPr>
          <w:rFonts w:hint="eastAsia"/>
          <w:sz w:val="24"/>
        </w:rPr>
        <w:t>5.自觉接受监管</w:t>
      </w:r>
    </w:p>
    <w:p w14:paraId="691A4078">
      <w:pPr>
        <w:spacing w:line="360" w:lineRule="auto"/>
        <w:ind w:firstLine="448" w:firstLineChars="200"/>
        <w:rPr>
          <w:sz w:val="24"/>
        </w:rPr>
      </w:pPr>
      <w:r>
        <w:rPr>
          <w:rFonts w:hint="eastAsia"/>
          <w:sz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2D04CDA5">
      <w:pPr>
        <w:spacing w:line="360" w:lineRule="auto"/>
        <w:ind w:firstLine="448" w:firstLineChars="200"/>
        <w:rPr>
          <w:sz w:val="24"/>
        </w:rPr>
      </w:pPr>
      <w:r>
        <w:rPr>
          <w:rFonts w:hint="eastAsia"/>
          <w:sz w:val="24"/>
        </w:rPr>
        <w:t>6.举报和反馈意见</w:t>
      </w:r>
    </w:p>
    <w:p w14:paraId="572D4394">
      <w:pPr>
        <w:spacing w:line="360" w:lineRule="auto"/>
        <w:ind w:firstLine="448" w:firstLineChars="200"/>
        <w:rPr>
          <w:sz w:val="24"/>
        </w:rPr>
      </w:pPr>
      <w:r>
        <w:rPr>
          <w:rFonts w:hint="eastAsia"/>
          <w:sz w:val="24"/>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5BD247E1">
      <w:pPr>
        <w:spacing w:line="360" w:lineRule="auto"/>
        <w:ind w:firstLine="448" w:firstLineChars="200"/>
        <w:rPr>
          <w:sz w:val="24"/>
        </w:rPr>
      </w:pPr>
      <w:r>
        <w:rPr>
          <w:rFonts w:hint="eastAsia"/>
          <w:sz w:val="24"/>
        </w:rPr>
        <w:t>（六）违约责任要求</w:t>
      </w:r>
    </w:p>
    <w:p w14:paraId="75250901">
      <w:pPr>
        <w:spacing w:line="360" w:lineRule="auto"/>
        <w:ind w:firstLine="448" w:firstLineChars="200"/>
        <w:rPr>
          <w:sz w:val="24"/>
        </w:rPr>
      </w:pPr>
      <w:r>
        <w:rPr>
          <w:rFonts w:hint="eastAsia"/>
          <w:sz w:val="24"/>
        </w:rPr>
        <w:t>1.供应商违反合同约定内容且造成不良后果的，评审过程中被认定以明显低于成本的报价恶意竞标的，另行开发销售合同业务需求范围内软件供纳税人使用的，以及一年内发生2次及以上一般失信行为的，按照规定认定供应商失信行为，并将其失信行为报送税务总局网信办。</w:t>
      </w:r>
    </w:p>
    <w:p w14:paraId="1D599920">
      <w:pPr>
        <w:spacing w:line="360" w:lineRule="auto"/>
        <w:ind w:firstLine="448" w:firstLineChars="200"/>
        <w:rPr>
          <w:sz w:val="24"/>
        </w:rPr>
      </w:pPr>
      <w:r>
        <w:rPr>
          <w:rFonts w:hint="eastAsia"/>
          <w:sz w:val="24"/>
        </w:rPr>
        <w:t>2.供应商违规聘用离职税务人员的，按照规定认定供应商失信行为，并将其失信行为报送税务总局网信办。</w:t>
      </w:r>
    </w:p>
    <w:p w14:paraId="2682B5BF">
      <w:pPr>
        <w:spacing w:line="360" w:lineRule="auto"/>
        <w:ind w:firstLine="448" w:firstLineChars="200"/>
        <w:rPr>
          <w:sz w:val="24"/>
        </w:rPr>
      </w:pPr>
      <w:r>
        <w:rPr>
          <w:rFonts w:hint="eastAsia"/>
          <w:sz w:val="24"/>
        </w:rPr>
        <w:t>3.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14:paraId="1F81EB96">
      <w:pPr>
        <w:spacing w:line="360" w:lineRule="auto"/>
        <w:ind w:firstLine="448" w:firstLineChars="200"/>
        <w:rPr>
          <w:sz w:val="24"/>
        </w:rPr>
      </w:pPr>
      <w:r>
        <w:rPr>
          <w:rFonts w:hint="eastAsia"/>
          <w:sz w:val="24"/>
        </w:rPr>
        <w:t>4.供应商违反网络安全管理规定并造成不良后果的，攻击或侵入税务信息系统（包括CA等）的，以及存在“围猎”税务人员失信行为的，按照规定认定供应商失信行为，并将其失信行为报送税务总局网信办。</w:t>
      </w:r>
    </w:p>
    <w:p w14:paraId="58D22899">
      <w:pPr>
        <w:spacing w:line="360" w:lineRule="auto"/>
        <w:ind w:firstLine="448" w:firstLineChars="200"/>
        <w:rPr>
          <w:sz w:val="24"/>
        </w:rPr>
      </w:pPr>
      <w:r>
        <w:rPr>
          <w:rFonts w:hint="eastAsia"/>
          <w:sz w:val="24"/>
        </w:rPr>
        <w:t>5.供应商存在其他严重失信行为的，经相关部门分析研判，按照规定认定供应商失信行为，并将其失信行为报送税务总局网信办。</w:t>
      </w:r>
    </w:p>
    <w:p w14:paraId="7AD3BD15">
      <w:pPr>
        <w:spacing w:line="360" w:lineRule="auto"/>
        <w:ind w:firstLine="448" w:firstLineChars="200"/>
        <w:rPr>
          <w:sz w:val="24"/>
        </w:rPr>
      </w:pPr>
      <w:r>
        <w:rPr>
          <w:rFonts w:hint="eastAsia"/>
          <w:sz w:val="24"/>
        </w:rPr>
        <w:t>（七）知识产权要求</w:t>
      </w:r>
    </w:p>
    <w:p w14:paraId="625A8FC9">
      <w:pPr>
        <w:spacing w:line="360" w:lineRule="auto"/>
        <w:ind w:firstLine="448" w:firstLineChars="200"/>
        <w:rPr>
          <w:sz w:val="24"/>
        </w:rPr>
      </w:pPr>
      <w:r>
        <w:rPr>
          <w:rFonts w:hint="eastAsia"/>
          <w:sz w:val="24"/>
        </w:rPr>
        <w:t>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14:paraId="5DA6B43C">
      <w:pPr>
        <w:spacing w:line="360" w:lineRule="auto"/>
        <w:ind w:firstLine="448" w:firstLineChars="200"/>
        <w:rPr>
          <w:sz w:val="24"/>
        </w:rPr>
      </w:pPr>
      <w:r>
        <w:rPr>
          <w:rFonts w:hint="eastAsia"/>
          <w:sz w:val="24"/>
        </w:rPr>
        <w:t>2.供应商应保证在本项目中所有预装和为本项目安装的软件为在中国境内具有合法版权或使用权的正版软件且无质量瑕疵。</w:t>
      </w:r>
    </w:p>
    <w:p w14:paraId="0C6D1B1E">
      <w:pPr>
        <w:spacing w:line="360" w:lineRule="auto"/>
        <w:ind w:firstLine="448" w:firstLineChars="200"/>
        <w:rPr>
          <w:sz w:val="24"/>
        </w:rPr>
      </w:pPr>
      <w:r>
        <w:rPr>
          <w:rFonts w:hint="eastAsia"/>
          <w:sz w:val="24"/>
        </w:rPr>
        <w:t>3.供应商应保证其所提供的产品及服务不侵犯第三方的知识产权，否则，由此给采购人造成的一切损失由供应商承担。</w:t>
      </w:r>
    </w:p>
    <w:p w14:paraId="4C09BF74">
      <w:pPr>
        <w:spacing w:line="360" w:lineRule="auto"/>
        <w:ind w:firstLine="448" w:firstLineChars="200"/>
        <w:rPr>
          <w:sz w:val="24"/>
        </w:rPr>
      </w:pPr>
      <w:r>
        <w:rPr>
          <w:rFonts w:hint="eastAsia"/>
          <w:sz w:val="24"/>
        </w:rPr>
        <w:t>★（八）履行核心技术移交要求</w:t>
      </w:r>
    </w:p>
    <w:p w14:paraId="1557D73F">
      <w:pPr>
        <w:spacing w:line="360" w:lineRule="auto"/>
        <w:ind w:firstLine="448" w:firstLineChars="200"/>
        <w:rPr>
          <w:sz w:val="24"/>
        </w:rPr>
      </w:pPr>
      <w:r>
        <w:rPr>
          <w:rFonts w:hint="eastAsia"/>
          <w:sz w:val="24"/>
        </w:rPr>
        <w:t>供应商须完成项目全套技术资料、系统权限、核心成果完整移交，交付全部设计文档、运维资料、配置脚本及相关密钥权限，不得设置技术锁定、后门及使用限制。项目实施成果使用权归采购人所有，同步完成现场技术交底和交接确认，保障采购人可自主运维、独立升级，彻底破除厂商技术壁垒。</w:t>
      </w:r>
    </w:p>
    <w:p w14:paraId="42CE5BE6">
      <w:pPr>
        <w:spacing w:line="360" w:lineRule="auto"/>
        <w:ind w:firstLine="448" w:firstLineChars="200"/>
        <w:rPr>
          <w:sz w:val="24"/>
        </w:rPr>
      </w:pPr>
      <w:r>
        <w:rPr>
          <w:rFonts w:hint="eastAsia"/>
          <w:sz w:val="24"/>
        </w:rPr>
        <w:t>★（九）加强技术人员管理培训</w:t>
      </w:r>
    </w:p>
    <w:p w14:paraId="3A0274D6">
      <w:pPr>
        <w:spacing w:line="360" w:lineRule="auto"/>
        <w:ind w:firstLine="448" w:firstLineChars="200"/>
        <w:jc w:val="center"/>
        <w:outlineLvl w:val="0"/>
        <w:rPr>
          <w:b/>
          <w:sz w:val="24"/>
        </w:rPr>
      </w:pPr>
      <w:r>
        <w:rPr>
          <w:rFonts w:hint="eastAsia"/>
          <w:sz w:val="24"/>
        </w:rPr>
        <w:t>供应商须配备固定、经验匹配的项目实施及运维团队，未经采购人同意不得擅自更换核心人员，严格遵守现场及保密管理制度。针对采购方系统管理员、运维人员、业务操作人员开展分层实操培训，提供配套课件和答疑服务，确保采购方人员熟练掌握系统操作、日常运维及常见故障处置，质保期内持续提供升级配套培训及技术指导。</w:t>
      </w:r>
    </w:p>
    <w:p w14:paraId="4AC64A0E">
      <w:pPr>
        <w:spacing w:line="360" w:lineRule="auto"/>
        <w:jc w:val="center"/>
        <w:rPr>
          <w:sz w:val="24"/>
        </w:rPr>
      </w:pPr>
      <w:r>
        <w:rPr>
          <w:sz w:val="24"/>
          <w:u w:val="single"/>
        </w:rPr>
        <w:br w:type="page"/>
      </w:r>
    </w:p>
    <w:p w14:paraId="754DA98A">
      <w:pPr>
        <w:pStyle w:val="16"/>
        <w:rPr>
          <w:rFonts w:ascii="Times New Roman" w:hAnsi="Times New Roman"/>
        </w:rPr>
      </w:pPr>
      <w:r>
        <w:rPr>
          <w:rFonts w:ascii="Times New Roman" w:hAnsi="Times New Roman"/>
        </w:rPr>
        <w:t>第三部分  投标须知</w:t>
      </w:r>
    </w:p>
    <w:p w14:paraId="67673B79">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611FACF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3C0B4BE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688AC7D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5571AA7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721DBD4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0586E95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436E76E1">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7781DF42">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720BA03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66D0028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4414742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1F7F0DD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6CCA08E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6756D77D">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2899E99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5DCFA2C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73408A0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75307AF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393198D5">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1BECD69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4A30395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52DDE18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2FC5522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7721BE6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F80FE1C">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252DFB4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4E1BD11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3624189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4ABF6E5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087BCD2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79AF248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076898C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7243F74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0AD50AB">
      <w:pPr>
        <w:pStyle w:val="29"/>
        <w:spacing w:line="360" w:lineRule="auto"/>
        <w:ind w:firstLine="448" w:firstLineChars="200"/>
        <w:jc w:val="both"/>
        <w:rPr>
          <w:rFonts w:ascii="Times New Roman" w:hAnsi="Times New Roman" w:eastAsia="宋体" w:cs="Times New Roman"/>
          <w:color w:val="auto"/>
        </w:rPr>
      </w:pPr>
      <w:bookmarkStart w:id="4" w:name="OLE_LINK5"/>
      <w:bookmarkStart w:id="5"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0E4F9BA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17CDB88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6DD98D0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1267701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6C826A9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235C232E">
      <w:pPr>
        <w:pStyle w:val="29"/>
        <w:spacing w:line="360" w:lineRule="auto"/>
        <w:ind w:firstLine="448" w:firstLineChars="200"/>
        <w:jc w:val="both"/>
        <w:rPr>
          <w:rFonts w:ascii="Times New Roman" w:hAnsi="Times New Roman" w:eastAsia="宋体" w:cs="Times New Roman"/>
          <w:color w:val="auto"/>
        </w:rPr>
      </w:pPr>
    </w:p>
    <w:bookmarkEnd w:id="4"/>
    <w:bookmarkEnd w:id="5"/>
    <w:p w14:paraId="464AE04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7764316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73D9C98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1486F89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天津市政府采购网（http://tjgp.cz.tj.gov.cn）”和“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1DBC8CF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384C824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047CBC3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4258137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06F0B6B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686941A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58053B3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49452A4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12521F3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6873AE8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187FDB0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2298B39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2166F72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34667C9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788E4135">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5F2D204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519C9A0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1BB72F3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7BF89A5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584F97B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7272A9B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25B88F9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152F1B4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04A969E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5D5AC82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5F26984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48AEF2E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5737620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07688D6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投标截止前，采购人、采购代理机构需要对招标文件进行补充或修改的，采购人、采购代理机构将会通过“天津市政府采购网”、“天津市政府采购中心网”以更正公告形式发布。</w:t>
      </w:r>
    </w:p>
    <w:p w14:paraId="79493BB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更正公告一经在“天津市政府采购网”、“天津市政府采购中心网”发布，天津市政府采购中心招投标系统将自动发送通知至已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37CB398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6C7EFA3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513DBC7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32B537A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4FCAC9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174531C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采购人、采购代理机构在答疑会或现场考察中口头介绍的情况，除经“天津市政府采购网”、“天津市政府采购中心网”以更正公告的形式发布外，不构成对招标文件的修改，不作为投标人编制投标文件的依据。</w:t>
      </w:r>
    </w:p>
    <w:p w14:paraId="1F36C24D">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40ABE33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01A59BA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7B5E7AC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1511B0F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328FAB5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239AD19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0FC5C38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27C1F82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7034058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1DD8731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2BB48E6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4A0FF71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36551FC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73F7215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777CFBE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3D69894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2B642FE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6208E0E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741124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6C95160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38F5706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32AAF83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48B2FB9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0BDA195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63F21198">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20E08309">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773739F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3797837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52E2000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396C61C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4A0D7C7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364A481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14:paraId="5A8F22A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05791AD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0A8B7E5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3DC4670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2B4DD4F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5179DAE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37FA914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7C51A20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21.4文件中的电子件指扫描件、电子证照、照片等形式电子文件；要求第三方出具的盖章件原件（如联合协议、分包意向协议、制造商授权书等），投标文件中应使用原件的电子件。</w:t>
      </w:r>
    </w:p>
    <w:p w14:paraId="0C92017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6429DD7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6F4A387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51151B4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710EE8A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6F99A80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46D5571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5038927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118CC82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48F8874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1E532F6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2246D7A1">
      <w:pPr>
        <w:pStyle w:val="29"/>
        <w:spacing w:line="360" w:lineRule="auto"/>
        <w:ind w:firstLine="448" w:firstLineChars="200"/>
        <w:jc w:val="both"/>
        <w:rPr>
          <w:rFonts w:ascii="Times New Roman" w:hAnsi="Times New Roman" w:eastAsia="宋体" w:cs="Times New Roman"/>
          <w:color w:val="auto"/>
        </w:rPr>
      </w:pPr>
    </w:p>
    <w:p w14:paraId="6B80FA30">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41FD542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6E886AB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662EB4B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1111139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374273C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0F16579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34C8926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5940D8E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1EE0E15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42A01A2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0B7E777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506AF6B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70981CE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0492408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52129A2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71BFFA7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655FF73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4195065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545F8B1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0644D97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29C5F76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18F86F1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5213F4C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3AA0EFE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4C0EBEF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7328C29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4D416F9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0A60EC0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0DB1189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5DD73D9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4D00C63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521E373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3A2638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6A7C46B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3F8197A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00E2A8E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292F7CA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43FF1F1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73AFF14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1A3C887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7161C6F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38490EF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072BC1E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239B988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67ACDD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4BFCE09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9A8926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65A0BBC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72A1C83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6E9F576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5486BDD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583E694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334B5F2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0246CA3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768A73C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498222C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1277AE7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3DB7D56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1C73288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386A9CFF">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40C2ECA5">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751A99C4">
      <w:pPr>
        <w:pStyle w:val="29"/>
        <w:spacing w:line="360" w:lineRule="auto"/>
        <w:ind w:firstLine="448" w:firstLineChars="200"/>
        <w:rPr>
          <w:rFonts w:ascii="Times New Roman" w:hAnsi="Times New Roman" w:eastAsia="宋体" w:cs="Times New Roman"/>
          <w:color w:val="auto"/>
        </w:rPr>
      </w:pPr>
    </w:p>
    <w:p w14:paraId="5A006A6B">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577EE96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12654B5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4F58663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14:paraId="233DD91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284D080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42163BF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69E18EA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28D2C57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624A477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7C3E82F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6DA788F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3607551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2EC0957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7E23981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3899FFD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6B90E7F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014D0A73">
      <w:pPr>
        <w:pStyle w:val="29"/>
        <w:spacing w:line="360" w:lineRule="auto"/>
        <w:ind w:firstLine="448" w:firstLineChars="200"/>
        <w:jc w:val="both"/>
        <w:rPr>
          <w:rFonts w:ascii="Times New Roman" w:hAnsi="Times New Roman" w:eastAsia="宋体" w:cs="Times New Roman"/>
          <w:color w:val="auto"/>
        </w:rPr>
      </w:pPr>
    </w:p>
    <w:p w14:paraId="75A08AD6">
      <w:pPr>
        <w:widowControl/>
        <w:jc w:val="left"/>
        <w:rPr>
          <w:b/>
          <w:bCs/>
          <w:kern w:val="28"/>
          <w:sz w:val="32"/>
          <w:szCs w:val="32"/>
          <w:lang w:val="zh-CN"/>
        </w:rPr>
      </w:pPr>
      <w:r>
        <w:br w:type="page"/>
      </w:r>
    </w:p>
    <w:p w14:paraId="45485BD3">
      <w:pPr>
        <w:pStyle w:val="16"/>
        <w:rPr>
          <w:rFonts w:ascii="Times New Roman" w:hAnsi="Times New Roman"/>
        </w:rPr>
      </w:pPr>
      <w:r>
        <w:rPr>
          <w:rFonts w:ascii="Times New Roman" w:hAnsi="Times New Roman"/>
        </w:rPr>
        <w:t>第四部分  合同条款</w:t>
      </w:r>
    </w:p>
    <w:p w14:paraId="2F73F48E">
      <w:pPr>
        <w:tabs>
          <w:tab w:val="left" w:pos="412"/>
          <w:tab w:val="left" w:pos="618"/>
        </w:tabs>
        <w:spacing w:line="520" w:lineRule="exact"/>
        <w:jc w:val="center"/>
        <w:rPr>
          <w:b/>
          <w:sz w:val="30"/>
          <w:szCs w:val="30"/>
        </w:rPr>
      </w:pPr>
      <w:r>
        <w:rPr>
          <w:b/>
          <w:sz w:val="30"/>
          <w:szCs w:val="30"/>
        </w:rPr>
        <w:t>合同一般条款</w:t>
      </w:r>
    </w:p>
    <w:p w14:paraId="540E9857">
      <w:pPr>
        <w:tabs>
          <w:tab w:val="left" w:pos="0"/>
          <w:tab w:val="left" w:pos="315"/>
        </w:tabs>
        <w:spacing w:line="520" w:lineRule="exact"/>
        <w:ind w:firstLine="480"/>
        <w:rPr>
          <w:sz w:val="24"/>
          <w:szCs w:val="24"/>
        </w:rPr>
      </w:pPr>
      <w:r>
        <w:rPr>
          <w:sz w:val="24"/>
          <w:szCs w:val="24"/>
        </w:rPr>
        <w:t xml:space="preserve">需方：  </w:t>
      </w:r>
    </w:p>
    <w:p w14:paraId="76EB4662">
      <w:pPr>
        <w:tabs>
          <w:tab w:val="left" w:pos="0"/>
          <w:tab w:val="left" w:pos="315"/>
        </w:tabs>
        <w:spacing w:line="520" w:lineRule="exact"/>
        <w:ind w:firstLine="480"/>
        <w:rPr>
          <w:sz w:val="24"/>
          <w:szCs w:val="24"/>
        </w:rPr>
      </w:pPr>
      <w:r>
        <w:rPr>
          <w:sz w:val="24"/>
          <w:szCs w:val="24"/>
        </w:rPr>
        <w:t xml:space="preserve">供方： </w:t>
      </w:r>
    </w:p>
    <w:p w14:paraId="7F5E05D6">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14:paraId="69117548">
      <w:pPr>
        <w:pStyle w:val="34"/>
        <w:numPr>
          <w:ilvl w:val="0"/>
          <w:numId w:val="2"/>
        </w:numPr>
        <w:spacing w:line="480" w:lineRule="exact"/>
        <w:ind w:firstLineChars="0"/>
        <w:rPr>
          <w:sz w:val="24"/>
          <w:szCs w:val="24"/>
        </w:rPr>
      </w:pPr>
      <w:r>
        <w:rPr>
          <w:rFonts w:hint="eastAsia"/>
          <w:sz w:val="24"/>
          <w:szCs w:val="24"/>
        </w:rPr>
        <w:t>本合同为中小企业预留合同</w:t>
      </w:r>
    </w:p>
    <w:p w14:paraId="6A501FDD">
      <w:pPr>
        <w:pStyle w:val="34"/>
        <w:numPr>
          <w:ilvl w:val="0"/>
          <w:numId w:val="2"/>
        </w:numPr>
        <w:spacing w:line="480" w:lineRule="exact"/>
        <w:ind w:firstLineChars="0"/>
        <w:rPr>
          <w:sz w:val="24"/>
          <w:szCs w:val="24"/>
        </w:rPr>
      </w:pPr>
      <w:r>
        <w:rPr>
          <w:rFonts w:hint="eastAsia"/>
          <w:sz w:val="24"/>
          <w:szCs w:val="24"/>
        </w:rPr>
        <w:t>本合同非中小企业预留合同</w:t>
      </w:r>
    </w:p>
    <w:p w14:paraId="079EB001">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3BBCC3B5">
      <w:pPr>
        <w:tabs>
          <w:tab w:val="left" w:pos="1133"/>
        </w:tabs>
        <w:spacing w:line="520" w:lineRule="exact"/>
        <w:ind w:firstLine="448" w:firstLineChars="200"/>
        <w:rPr>
          <w:sz w:val="24"/>
          <w:szCs w:val="24"/>
        </w:rPr>
      </w:pPr>
      <w:r>
        <w:rPr>
          <w:sz w:val="24"/>
          <w:szCs w:val="24"/>
        </w:rPr>
        <w:t>一、采购内容：  （详见附件）</w:t>
      </w:r>
    </w:p>
    <w:p w14:paraId="7090758D">
      <w:pPr>
        <w:tabs>
          <w:tab w:val="left" w:pos="1133"/>
        </w:tabs>
        <w:spacing w:line="520" w:lineRule="exact"/>
        <w:ind w:firstLine="448" w:firstLineChars="200"/>
        <w:rPr>
          <w:sz w:val="24"/>
          <w:szCs w:val="24"/>
        </w:rPr>
      </w:pPr>
      <w:r>
        <w:rPr>
          <w:sz w:val="24"/>
          <w:szCs w:val="24"/>
        </w:rPr>
        <w:t xml:space="preserve">    合同总价款：人民币  元</w:t>
      </w:r>
    </w:p>
    <w:p w14:paraId="33D48F4B">
      <w:pPr>
        <w:tabs>
          <w:tab w:val="left" w:pos="1133"/>
        </w:tabs>
        <w:spacing w:line="520" w:lineRule="exact"/>
        <w:ind w:firstLine="448" w:firstLineChars="200"/>
        <w:rPr>
          <w:sz w:val="24"/>
          <w:szCs w:val="24"/>
        </w:rPr>
      </w:pPr>
      <w:r>
        <w:rPr>
          <w:sz w:val="24"/>
          <w:szCs w:val="24"/>
        </w:rPr>
        <w:t xml:space="preserve">    大写：人民币  元整</w:t>
      </w:r>
    </w:p>
    <w:p w14:paraId="0DB71861">
      <w:pPr>
        <w:tabs>
          <w:tab w:val="left" w:pos="360"/>
        </w:tabs>
        <w:spacing w:line="520" w:lineRule="exact"/>
        <w:ind w:firstLine="448" w:firstLineChars="200"/>
        <w:rPr>
          <w:sz w:val="24"/>
          <w:szCs w:val="24"/>
        </w:rPr>
      </w:pPr>
      <w:r>
        <w:rPr>
          <w:sz w:val="24"/>
          <w:szCs w:val="24"/>
        </w:rPr>
        <w:t>二、质量要求及对质量负责条件和期限：见附件。</w:t>
      </w:r>
    </w:p>
    <w:p w14:paraId="3F6ACD22">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50B6410A">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3ADFBC96">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2288D2CE">
      <w:pPr>
        <w:tabs>
          <w:tab w:val="left" w:pos="360"/>
          <w:tab w:val="left" w:pos="721"/>
        </w:tabs>
        <w:spacing w:line="520" w:lineRule="exact"/>
        <w:rPr>
          <w:sz w:val="24"/>
          <w:szCs w:val="24"/>
        </w:rPr>
      </w:pPr>
      <w:r>
        <w:rPr>
          <w:sz w:val="24"/>
          <w:szCs w:val="24"/>
        </w:rPr>
        <w:t xml:space="preserve">    六、验收工作由需方负责对合同进行验收。</w:t>
      </w:r>
    </w:p>
    <w:p w14:paraId="3D712359">
      <w:pPr>
        <w:tabs>
          <w:tab w:val="left" w:pos="360"/>
        </w:tabs>
        <w:spacing w:line="520" w:lineRule="exact"/>
        <w:rPr>
          <w:sz w:val="24"/>
          <w:szCs w:val="24"/>
        </w:rPr>
      </w:pPr>
      <w:r>
        <w:rPr>
          <w:sz w:val="24"/>
          <w:szCs w:val="24"/>
        </w:rPr>
        <w:t xml:space="preserve">    七、货款支付方式：见附件。</w:t>
      </w:r>
    </w:p>
    <w:p w14:paraId="2EB60E23">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14:paraId="13A33EA5">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14:paraId="1D08937C">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14:paraId="53BCB903">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3134B5B7">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50D76917">
        <w:tblPrEx>
          <w:tblCellMar>
            <w:top w:w="0" w:type="dxa"/>
            <w:left w:w="108" w:type="dxa"/>
            <w:bottom w:w="0" w:type="dxa"/>
            <w:right w:w="108" w:type="dxa"/>
          </w:tblCellMar>
        </w:tblPrEx>
        <w:tc>
          <w:tcPr>
            <w:tcW w:w="4261" w:type="dxa"/>
          </w:tcPr>
          <w:p w14:paraId="14FAFFB3">
            <w:pPr>
              <w:tabs>
                <w:tab w:val="left" w:pos="0"/>
                <w:tab w:val="left" w:pos="315"/>
              </w:tabs>
              <w:spacing w:line="520" w:lineRule="exact"/>
              <w:rPr>
                <w:sz w:val="24"/>
                <w:szCs w:val="24"/>
              </w:rPr>
            </w:pPr>
            <w:r>
              <w:rPr>
                <w:sz w:val="24"/>
                <w:szCs w:val="24"/>
              </w:rPr>
              <w:t xml:space="preserve">供方（公章）： </w:t>
            </w:r>
          </w:p>
        </w:tc>
        <w:tc>
          <w:tcPr>
            <w:tcW w:w="4261" w:type="dxa"/>
          </w:tcPr>
          <w:p w14:paraId="688B553D">
            <w:pPr>
              <w:tabs>
                <w:tab w:val="left" w:pos="0"/>
                <w:tab w:val="left" w:pos="315"/>
              </w:tabs>
              <w:spacing w:line="520" w:lineRule="exact"/>
              <w:rPr>
                <w:sz w:val="24"/>
                <w:szCs w:val="24"/>
              </w:rPr>
            </w:pPr>
            <w:r>
              <w:rPr>
                <w:sz w:val="24"/>
                <w:szCs w:val="24"/>
              </w:rPr>
              <w:t xml:space="preserve">需方（公章）： </w:t>
            </w:r>
          </w:p>
        </w:tc>
      </w:tr>
      <w:tr w14:paraId="7F4125DE">
        <w:tblPrEx>
          <w:tblCellMar>
            <w:top w:w="0" w:type="dxa"/>
            <w:left w:w="108" w:type="dxa"/>
            <w:bottom w:w="0" w:type="dxa"/>
            <w:right w:w="108" w:type="dxa"/>
          </w:tblCellMar>
        </w:tblPrEx>
        <w:tc>
          <w:tcPr>
            <w:tcW w:w="4261" w:type="dxa"/>
          </w:tcPr>
          <w:p w14:paraId="1A3D0B6C">
            <w:pPr>
              <w:tabs>
                <w:tab w:val="left" w:pos="0"/>
                <w:tab w:val="left" w:pos="315"/>
              </w:tabs>
              <w:spacing w:line="520" w:lineRule="exact"/>
              <w:rPr>
                <w:sz w:val="24"/>
                <w:szCs w:val="24"/>
              </w:rPr>
            </w:pPr>
            <w:r>
              <w:rPr>
                <w:sz w:val="24"/>
                <w:szCs w:val="24"/>
              </w:rPr>
              <w:t xml:space="preserve">地址：  </w:t>
            </w:r>
          </w:p>
        </w:tc>
        <w:tc>
          <w:tcPr>
            <w:tcW w:w="4261" w:type="dxa"/>
          </w:tcPr>
          <w:p w14:paraId="3D0BA936">
            <w:pPr>
              <w:tabs>
                <w:tab w:val="left" w:pos="0"/>
                <w:tab w:val="left" w:pos="315"/>
              </w:tabs>
              <w:spacing w:line="520" w:lineRule="exact"/>
              <w:rPr>
                <w:sz w:val="24"/>
                <w:szCs w:val="24"/>
              </w:rPr>
            </w:pPr>
            <w:r>
              <w:rPr>
                <w:sz w:val="24"/>
                <w:szCs w:val="24"/>
              </w:rPr>
              <w:t xml:space="preserve">地址： </w:t>
            </w:r>
          </w:p>
        </w:tc>
      </w:tr>
      <w:tr w14:paraId="35CBAD0C">
        <w:tblPrEx>
          <w:tblCellMar>
            <w:top w:w="0" w:type="dxa"/>
            <w:left w:w="108" w:type="dxa"/>
            <w:bottom w:w="0" w:type="dxa"/>
            <w:right w:w="108" w:type="dxa"/>
          </w:tblCellMar>
        </w:tblPrEx>
        <w:tc>
          <w:tcPr>
            <w:tcW w:w="4261" w:type="dxa"/>
          </w:tcPr>
          <w:p w14:paraId="45403D16">
            <w:pPr>
              <w:tabs>
                <w:tab w:val="left" w:pos="360"/>
              </w:tabs>
              <w:spacing w:line="520" w:lineRule="exact"/>
              <w:rPr>
                <w:sz w:val="24"/>
                <w:szCs w:val="24"/>
              </w:rPr>
            </w:pPr>
            <w:r>
              <w:rPr>
                <w:sz w:val="24"/>
                <w:szCs w:val="24"/>
              </w:rPr>
              <w:t xml:space="preserve">法定代表人： </w:t>
            </w:r>
          </w:p>
        </w:tc>
        <w:tc>
          <w:tcPr>
            <w:tcW w:w="4261" w:type="dxa"/>
          </w:tcPr>
          <w:p w14:paraId="07C80264">
            <w:pPr>
              <w:tabs>
                <w:tab w:val="left" w:pos="360"/>
              </w:tabs>
              <w:spacing w:line="520" w:lineRule="exact"/>
              <w:rPr>
                <w:sz w:val="24"/>
                <w:szCs w:val="24"/>
              </w:rPr>
            </w:pPr>
            <w:r>
              <w:rPr>
                <w:sz w:val="24"/>
                <w:szCs w:val="24"/>
              </w:rPr>
              <w:t xml:space="preserve">法定代表人： </w:t>
            </w:r>
          </w:p>
        </w:tc>
      </w:tr>
      <w:tr w14:paraId="6672FCA2">
        <w:tc>
          <w:tcPr>
            <w:tcW w:w="4261" w:type="dxa"/>
          </w:tcPr>
          <w:p w14:paraId="10D70D3C">
            <w:pPr>
              <w:tabs>
                <w:tab w:val="left" w:pos="360"/>
              </w:tabs>
              <w:spacing w:line="520" w:lineRule="exact"/>
              <w:rPr>
                <w:sz w:val="24"/>
                <w:szCs w:val="24"/>
              </w:rPr>
            </w:pPr>
            <w:r>
              <w:rPr>
                <w:sz w:val="24"/>
                <w:szCs w:val="24"/>
              </w:rPr>
              <w:t xml:space="preserve">委托代理人： </w:t>
            </w:r>
          </w:p>
        </w:tc>
        <w:tc>
          <w:tcPr>
            <w:tcW w:w="4261" w:type="dxa"/>
          </w:tcPr>
          <w:p w14:paraId="1098EFB9">
            <w:pPr>
              <w:tabs>
                <w:tab w:val="left" w:pos="360"/>
              </w:tabs>
              <w:spacing w:line="520" w:lineRule="exact"/>
              <w:rPr>
                <w:sz w:val="24"/>
                <w:szCs w:val="24"/>
              </w:rPr>
            </w:pPr>
            <w:r>
              <w:rPr>
                <w:sz w:val="24"/>
                <w:szCs w:val="24"/>
              </w:rPr>
              <w:t xml:space="preserve">委托代理人： </w:t>
            </w:r>
          </w:p>
        </w:tc>
      </w:tr>
      <w:tr w14:paraId="4A2EDD2E">
        <w:tblPrEx>
          <w:tblCellMar>
            <w:top w:w="0" w:type="dxa"/>
            <w:left w:w="108" w:type="dxa"/>
            <w:bottom w:w="0" w:type="dxa"/>
            <w:right w:w="108" w:type="dxa"/>
          </w:tblCellMar>
        </w:tblPrEx>
        <w:tc>
          <w:tcPr>
            <w:tcW w:w="4261" w:type="dxa"/>
          </w:tcPr>
          <w:p w14:paraId="068BA9E2">
            <w:pPr>
              <w:tabs>
                <w:tab w:val="left" w:pos="360"/>
              </w:tabs>
              <w:spacing w:line="520" w:lineRule="exact"/>
              <w:rPr>
                <w:sz w:val="24"/>
                <w:szCs w:val="24"/>
              </w:rPr>
            </w:pPr>
            <w:r>
              <w:rPr>
                <w:sz w:val="24"/>
                <w:szCs w:val="24"/>
              </w:rPr>
              <w:t>电话：</w:t>
            </w:r>
          </w:p>
        </w:tc>
        <w:tc>
          <w:tcPr>
            <w:tcW w:w="4261" w:type="dxa"/>
          </w:tcPr>
          <w:p w14:paraId="49087FBC">
            <w:pPr>
              <w:tabs>
                <w:tab w:val="left" w:pos="360"/>
              </w:tabs>
              <w:spacing w:line="520" w:lineRule="exact"/>
              <w:rPr>
                <w:sz w:val="24"/>
                <w:szCs w:val="24"/>
              </w:rPr>
            </w:pPr>
            <w:r>
              <w:rPr>
                <w:sz w:val="24"/>
                <w:szCs w:val="24"/>
              </w:rPr>
              <w:t>电话：</w:t>
            </w:r>
          </w:p>
        </w:tc>
      </w:tr>
    </w:tbl>
    <w:p w14:paraId="60868AE7">
      <w:pPr>
        <w:rPr>
          <w:sz w:val="24"/>
          <w:szCs w:val="24"/>
        </w:rPr>
      </w:pPr>
    </w:p>
    <w:p w14:paraId="44951C97">
      <w:pPr>
        <w:rPr>
          <w:szCs w:val="24"/>
        </w:rPr>
      </w:pPr>
      <w:r>
        <w:rPr>
          <w:sz w:val="24"/>
          <w:szCs w:val="24"/>
        </w:rPr>
        <w:t>时间：20</w:t>
      </w:r>
      <w:r>
        <w:rPr>
          <w:rFonts w:hint="eastAsia"/>
          <w:sz w:val="24"/>
          <w:szCs w:val="24"/>
        </w:rPr>
        <w:t xml:space="preserve">  </w:t>
      </w:r>
      <w:r>
        <w:rPr>
          <w:sz w:val="24"/>
          <w:szCs w:val="24"/>
        </w:rPr>
        <w:t>年  月  日</w:t>
      </w:r>
    </w:p>
    <w:p w14:paraId="26176131">
      <w:pPr>
        <w:jc w:val="center"/>
        <w:rPr>
          <w:b/>
          <w:sz w:val="30"/>
          <w:szCs w:val="30"/>
        </w:rPr>
      </w:pPr>
      <w:r>
        <w:rPr>
          <w:b/>
          <w:sz w:val="30"/>
          <w:szCs w:val="30"/>
        </w:rPr>
        <w:br w:type="page"/>
      </w:r>
      <w:r>
        <w:rPr>
          <w:b/>
          <w:sz w:val="30"/>
          <w:szCs w:val="30"/>
        </w:rPr>
        <w:t>合同特殊条款</w:t>
      </w:r>
    </w:p>
    <w:p w14:paraId="3264C6FD">
      <w:pPr>
        <w:tabs>
          <w:tab w:val="left" w:pos="360"/>
        </w:tabs>
        <w:spacing w:line="520" w:lineRule="exact"/>
        <w:ind w:firstLine="383" w:firstLineChars="171"/>
        <w:rPr>
          <w:color w:val="000000"/>
          <w:sz w:val="24"/>
          <w:szCs w:val="24"/>
        </w:rPr>
      </w:pPr>
    </w:p>
    <w:p w14:paraId="740C6E52">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0D216EEA">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14:paraId="4EC0FC13">
      <w:pPr>
        <w:autoSpaceDE w:val="0"/>
        <w:autoSpaceDN w:val="0"/>
        <w:adjustRightInd w:val="0"/>
        <w:spacing w:line="360" w:lineRule="auto"/>
        <w:ind w:firstLine="448" w:firstLineChars="200"/>
        <w:rPr>
          <w:sz w:val="24"/>
        </w:rPr>
      </w:pPr>
    </w:p>
    <w:p w14:paraId="02A21EBD">
      <w:pPr>
        <w:widowControl/>
        <w:jc w:val="left"/>
        <w:rPr>
          <w:sz w:val="24"/>
        </w:rPr>
      </w:pPr>
      <w:r>
        <w:rPr>
          <w:sz w:val="24"/>
        </w:rPr>
        <w:br w:type="page"/>
      </w:r>
    </w:p>
    <w:p w14:paraId="42272DE6">
      <w:pPr>
        <w:pStyle w:val="16"/>
        <w:rPr>
          <w:rFonts w:ascii="Times New Roman" w:hAnsi="Times New Roman"/>
        </w:rPr>
      </w:pPr>
      <w:r>
        <w:rPr>
          <w:rFonts w:ascii="Times New Roman" w:hAnsi="Times New Roman"/>
        </w:rPr>
        <w:t>第五部分  投标文件格式</w:t>
      </w:r>
    </w:p>
    <w:p w14:paraId="6C4C1A99">
      <w:pPr>
        <w:autoSpaceDN w:val="0"/>
        <w:spacing w:line="360" w:lineRule="auto"/>
        <w:jc w:val="center"/>
        <w:rPr>
          <w:b/>
          <w:bCs/>
          <w:sz w:val="24"/>
        </w:rPr>
      </w:pPr>
      <w:r>
        <w:rPr>
          <w:b/>
          <w:bCs/>
          <w:sz w:val="24"/>
        </w:rPr>
        <w:t>投标文件封面格式</w:t>
      </w:r>
    </w:p>
    <w:p w14:paraId="0E9ABA57">
      <w:pPr>
        <w:autoSpaceDE w:val="0"/>
        <w:autoSpaceDN w:val="0"/>
        <w:adjustRightInd w:val="0"/>
        <w:spacing w:line="520" w:lineRule="exact"/>
      </w:pPr>
    </w:p>
    <w:p w14:paraId="3EE45DF5">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5C276EF1">
      <w:pPr>
        <w:autoSpaceDE w:val="0"/>
        <w:autoSpaceDN w:val="0"/>
        <w:adjustRightInd w:val="0"/>
        <w:spacing w:line="520" w:lineRule="exact"/>
        <w:rPr>
          <w:b/>
          <w:kern w:val="0"/>
          <w:sz w:val="24"/>
        </w:rPr>
      </w:pPr>
    </w:p>
    <w:p w14:paraId="29461868">
      <w:pPr>
        <w:autoSpaceDE w:val="0"/>
        <w:autoSpaceDN w:val="0"/>
        <w:adjustRightInd w:val="0"/>
        <w:spacing w:line="520" w:lineRule="exact"/>
        <w:rPr>
          <w:b/>
          <w:kern w:val="0"/>
          <w:sz w:val="24"/>
        </w:rPr>
      </w:pPr>
    </w:p>
    <w:p w14:paraId="09A805F4">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278AB4A4">
      <w:pPr>
        <w:autoSpaceDE w:val="0"/>
        <w:autoSpaceDN w:val="0"/>
        <w:adjustRightInd w:val="0"/>
        <w:spacing w:line="520" w:lineRule="exact"/>
        <w:rPr>
          <w:b/>
          <w:kern w:val="0"/>
          <w:sz w:val="36"/>
          <w:szCs w:val="36"/>
        </w:rPr>
      </w:pPr>
    </w:p>
    <w:p w14:paraId="7B2282E4">
      <w:pPr>
        <w:autoSpaceDE w:val="0"/>
        <w:autoSpaceDN w:val="0"/>
        <w:adjustRightInd w:val="0"/>
        <w:spacing w:line="520" w:lineRule="exact"/>
        <w:jc w:val="center"/>
        <w:rPr>
          <w:b/>
          <w:color w:val="FF0000"/>
          <w:kern w:val="0"/>
          <w:sz w:val="24"/>
        </w:rPr>
      </w:pPr>
      <w:r>
        <w:rPr>
          <w:b/>
          <w:color w:val="FF0000"/>
          <w:kern w:val="0"/>
          <w:sz w:val="24"/>
        </w:rPr>
        <w:t>（加盖电子签章）</w:t>
      </w:r>
    </w:p>
    <w:p w14:paraId="5D8DE0EC">
      <w:pPr>
        <w:spacing w:before="85" w:beforeLines="30" w:after="199" w:afterLines="70" w:line="540" w:lineRule="exact"/>
        <w:ind w:left="582" w:leftChars="300"/>
        <w:rPr>
          <w:b/>
          <w:sz w:val="34"/>
          <w:szCs w:val="34"/>
        </w:rPr>
      </w:pPr>
      <w:r>
        <w:rPr>
          <w:b/>
          <w:sz w:val="34"/>
          <w:szCs w:val="34"/>
        </w:rPr>
        <w:t>项目编号：</w:t>
      </w:r>
    </w:p>
    <w:p w14:paraId="48AD18E3">
      <w:pPr>
        <w:spacing w:before="85" w:beforeLines="30" w:after="199" w:afterLines="70" w:line="540" w:lineRule="exact"/>
        <w:ind w:left="2027" w:leftChars="300" w:hanging="1445" w:hangingChars="446"/>
        <w:rPr>
          <w:b/>
          <w:sz w:val="34"/>
          <w:szCs w:val="34"/>
        </w:rPr>
      </w:pPr>
      <w:r>
        <w:rPr>
          <w:b/>
          <w:sz w:val="34"/>
          <w:szCs w:val="34"/>
        </w:rPr>
        <w:t>项目名称：</w:t>
      </w:r>
    </w:p>
    <w:p w14:paraId="34917D8C">
      <w:pPr>
        <w:spacing w:before="85" w:beforeLines="30" w:after="199" w:afterLines="70" w:line="540" w:lineRule="exact"/>
        <w:ind w:left="2027" w:leftChars="300" w:hanging="1445" w:hangingChars="446"/>
        <w:rPr>
          <w:b/>
          <w:sz w:val="34"/>
          <w:szCs w:val="34"/>
        </w:rPr>
      </w:pPr>
      <w:r>
        <w:rPr>
          <w:b/>
          <w:sz w:val="34"/>
          <w:szCs w:val="34"/>
        </w:rPr>
        <w:t>所投包号：</w:t>
      </w:r>
    </w:p>
    <w:p w14:paraId="5B5775B3">
      <w:pPr>
        <w:spacing w:before="85" w:beforeLines="30" w:after="199" w:afterLines="70" w:line="540" w:lineRule="exact"/>
        <w:ind w:left="582" w:leftChars="300"/>
        <w:rPr>
          <w:b/>
          <w:sz w:val="34"/>
          <w:szCs w:val="34"/>
        </w:rPr>
      </w:pPr>
      <w:r>
        <w:rPr>
          <w:b/>
          <w:sz w:val="34"/>
          <w:szCs w:val="34"/>
        </w:rPr>
        <w:t>投标单位名称：</w:t>
      </w:r>
    </w:p>
    <w:p w14:paraId="511412AC">
      <w:pPr>
        <w:spacing w:before="85" w:beforeLines="30" w:after="199" w:afterLines="70" w:line="540" w:lineRule="exact"/>
        <w:ind w:left="582" w:leftChars="300"/>
        <w:rPr>
          <w:b/>
          <w:sz w:val="34"/>
          <w:szCs w:val="34"/>
        </w:rPr>
      </w:pPr>
      <w:r>
        <w:rPr>
          <w:rFonts w:hint="eastAsia"/>
          <w:b/>
          <w:sz w:val="34"/>
          <w:szCs w:val="34"/>
        </w:rPr>
        <w:t>投标代表人姓名：</w:t>
      </w:r>
    </w:p>
    <w:p w14:paraId="267FE340">
      <w:pPr>
        <w:spacing w:before="85" w:beforeLines="30" w:after="199" w:afterLines="70" w:line="540" w:lineRule="exact"/>
        <w:ind w:left="582" w:leftChars="300"/>
        <w:rPr>
          <w:b/>
          <w:sz w:val="34"/>
          <w:szCs w:val="34"/>
        </w:rPr>
      </w:pPr>
    </w:p>
    <w:p w14:paraId="4614BB19">
      <w:pPr>
        <w:spacing w:before="85" w:beforeLines="30" w:after="199" w:afterLines="70" w:line="540" w:lineRule="exact"/>
        <w:ind w:left="582" w:leftChars="300"/>
        <w:rPr>
          <w:b/>
          <w:sz w:val="34"/>
          <w:szCs w:val="34"/>
        </w:rPr>
      </w:pPr>
    </w:p>
    <w:p w14:paraId="7F1D99BD">
      <w:pPr>
        <w:spacing w:before="85" w:beforeLines="30" w:after="199" w:afterLines="70" w:line="540" w:lineRule="exact"/>
        <w:ind w:left="582" w:leftChars="300"/>
        <w:rPr>
          <w:b/>
          <w:sz w:val="34"/>
          <w:szCs w:val="34"/>
        </w:rPr>
      </w:pPr>
    </w:p>
    <w:p w14:paraId="257B50E3">
      <w:pPr>
        <w:spacing w:before="85" w:beforeLines="30" w:after="199" w:afterLines="70" w:line="540" w:lineRule="exact"/>
        <w:ind w:left="582" w:leftChars="300"/>
        <w:rPr>
          <w:b/>
          <w:bCs/>
          <w:sz w:val="24"/>
        </w:rPr>
      </w:pPr>
      <w:r>
        <w:rPr>
          <w:b/>
          <w:sz w:val="34"/>
          <w:szCs w:val="34"/>
        </w:rPr>
        <w:t>投标日期：   年   月   日</w:t>
      </w:r>
    </w:p>
    <w:p w14:paraId="16AA5B42">
      <w:pPr>
        <w:widowControl/>
        <w:jc w:val="left"/>
        <w:rPr>
          <w:b/>
          <w:bCs/>
          <w:sz w:val="24"/>
        </w:rPr>
      </w:pPr>
      <w:r>
        <w:rPr>
          <w:b/>
          <w:bCs/>
          <w:sz w:val="24"/>
        </w:rPr>
        <w:br w:type="page"/>
      </w:r>
    </w:p>
    <w:p w14:paraId="6CEEFCE6">
      <w:pPr>
        <w:autoSpaceDN w:val="0"/>
        <w:spacing w:line="360" w:lineRule="auto"/>
        <w:jc w:val="center"/>
        <w:rPr>
          <w:b/>
          <w:bCs/>
          <w:sz w:val="24"/>
        </w:rPr>
      </w:pPr>
      <w:r>
        <w:rPr>
          <w:b/>
          <w:bCs/>
          <w:sz w:val="24"/>
        </w:rPr>
        <w:t>投标文件总目录</w:t>
      </w:r>
    </w:p>
    <w:p w14:paraId="59C9D9CB">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2B92775C">
      <w:pPr>
        <w:widowControl/>
        <w:jc w:val="center"/>
        <w:rPr>
          <w:b/>
          <w:sz w:val="24"/>
        </w:rPr>
      </w:pPr>
    </w:p>
    <w:p w14:paraId="23CA90F2">
      <w:pPr>
        <w:widowControl/>
        <w:jc w:val="left"/>
        <w:rPr>
          <w:b/>
          <w:sz w:val="24"/>
        </w:rPr>
      </w:pPr>
      <w:r>
        <w:rPr>
          <w:b/>
          <w:sz w:val="24"/>
        </w:rPr>
        <w:br w:type="page"/>
      </w:r>
    </w:p>
    <w:p w14:paraId="1F600B5A">
      <w:pPr>
        <w:widowControl/>
        <w:jc w:val="center"/>
        <w:rPr>
          <w:b/>
          <w:sz w:val="24"/>
        </w:rPr>
      </w:pPr>
      <w:r>
        <w:rPr>
          <w:b/>
          <w:sz w:val="24"/>
        </w:rPr>
        <w:t>评分因素及评标标准页码检索</w:t>
      </w:r>
    </w:p>
    <w:p w14:paraId="50B67B0A">
      <w:pPr>
        <w:widowControl/>
        <w:jc w:val="center"/>
        <w:rPr>
          <w:b/>
          <w:sz w:val="24"/>
        </w:rPr>
      </w:pPr>
      <w:r>
        <w:rPr>
          <w:b/>
          <w:bCs/>
          <w:sz w:val="24"/>
        </w:rPr>
        <w:t>（需投标人按招标文件“评分因素及评标标准”中每个评分项逐项列明页码）</w:t>
      </w:r>
    </w:p>
    <w:p w14:paraId="433F2478">
      <w:pPr>
        <w:widowControl/>
        <w:jc w:val="left"/>
        <w:rPr>
          <w:sz w:val="24"/>
        </w:rPr>
      </w:pPr>
      <w:r>
        <w:rPr>
          <w:sz w:val="24"/>
        </w:rPr>
        <w:br w:type="page"/>
      </w:r>
    </w:p>
    <w:p w14:paraId="72DFF31E">
      <w:pPr>
        <w:tabs>
          <w:tab w:val="left" w:pos="360"/>
        </w:tabs>
        <w:spacing w:after="285" w:afterLines="100" w:line="360" w:lineRule="auto"/>
        <w:rPr>
          <w:b/>
          <w:sz w:val="24"/>
        </w:rPr>
      </w:pPr>
      <w:r>
        <w:rPr>
          <w:b/>
          <w:sz w:val="24"/>
        </w:rPr>
        <w:t>附件1</w:t>
      </w:r>
    </w:p>
    <w:p w14:paraId="1972A94C">
      <w:pPr>
        <w:autoSpaceDN w:val="0"/>
        <w:spacing w:line="360" w:lineRule="auto"/>
        <w:jc w:val="center"/>
        <w:rPr>
          <w:b/>
          <w:bCs/>
          <w:sz w:val="24"/>
        </w:rPr>
      </w:pPr>
      <w:r>
        <w:rPr>
          <w:b/>
          <w:bCs/>
          <w:sz w:val="24"/>
        </w:rPr>
        <w:t>投标书</w:t>
      </w:r>
    </w:p>
    <w:p w14:paraId="05373522">
      <w:pPr>
        <w:spacing w:line="360" w:lineRule="auto"/>
        <w:rPr>
          <w:sz w:val="24"/>
        </w:rPr>
      </w:pPr>
      <w:r>
        <w:rPr>
          <w:sz w:val="24"/>
        </w:rPr>
        <w:t>致：天津市政府采购中心</w:t>
      </w:r>
    </w:p>
    <w:p w14:paraId="0E85F578">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516949A6">
      <w:pPr>
        <w:spacing w:line="360" w:lineRule="auto"/>
        <w:ind w:firstLine="448" w:firstLineChars="200"/>
        <w:rPr>
          <w:sz w:val="24"/>
        </w:rPr>
      </w:pPr>
      <w:r>
        <w:rPr>
          <w:sz w:val="24"/>
        </w:rPr>
        <w:t>据此函，签字代表宣布同意如下：</w:t>
      </w:r>
    </w:p>
    <w:p w14:paraId="0E6698BF">
      <w:pPr>
        <w:spacing w:line="360" w:lineRule="auto"/>
        <w:ind w:firstLine="448" w:firstLineChars="200"/>
        <w:rPr>
          <w:sz w:val="24"/>
        </w:rPr>
      </w:pPr>
      <w:r>
        <w:rPr>
          <w:sz w:val="24"/>
        </w:rPr>
        <w:t>1. 所附投标报价表中规定的应提供和交付的服务投标总价为：</w:t>
      </w:r>
    </w:p>
    <w:p w14:paraId="50687647">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44655C27">
      <w:pPr>
        <w:spacing w:line="360" w:lineRule="auto"/>
        <w:ind w:firstLine="448" w:firstLineChars="200"/>
        <w:rPr>
          <w:sz w:val="24"/>
        </w:rPr>
      </w:pPr>
      <w:r>
        <w:rPr>
          <w:sz w:val="24"/>
        </w:rPr>
        <w:t>……</w:t>
      </w:r>
    </w:p>
    <w:p w14:paraId="081F5909">
      <w:pPr>
        <w:spacing w:line="360" w:lineRule="auto"/>
        <w:ind w:firstLine="448" w:firstLineChars="200"/>
        <w:rPr>
          <w:sz w:val="24"/>
        </w:rPr>
      </w:pPr>
      <w:r>
        <w:rPr>
          <w:sz w:val="24"/>
        </w:rPr>
        <w:t>2. 我公司将按招标文件的规定履行合同责任和义务。</w:t>
      </w:r>
    </w:p>
    <w:p w14:paraId="49726391">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6B48E23B">
      <w:pPr>
        <w:spacing w:line="360" w:lineRule="auto"/>
        <w:ind w:firstLine="448" w:firstLineChars="200"/>
        <w:rPr>
          <w:sz w:val="24"/>
        </w:rPr>
      </w:pPr>
      <w:r>
        <w:rPr>
          <w:sz w:val="24"/>
        </w:rPr>
        <w:t>4. 我公司的投标有效期为开标之日起60天。</w:t>
      </w:r>
    </w:p>
    <w:p w14:paraId="1B8224EC">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21719CC7">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1BC6257E">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2620A922">
      <w:pPr>
        <w:spacing w:line="360" w:lineRule="auto"/>
        <w:ind w:firstLine="448" w:firstLineChars="200"/>
        <w:rPr>
          <w:sz w:val="24"/>
        </w:rPr>
      </w:pPr>
      <w:r>
        <w:rPr>
          <w:sz w:val="24"/>
        </w:rPr>
        <w:t>8. 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14:paraId="4C197FF9">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0575A902">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3567E97F">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621C39F2">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2FD7C64A">
      <w:pPr>
        <w:spacing w:line="360" w:lineRule="auto"/>
        <w:ind w:firstLine="448" w:firstLineChars="200"/>
        <w:rPr>
          <w:sz w:val="24"/>
        </w:rPr>
      </w:pPr>
      <w:r>
        <w:rPr>
          <w:rFonts w:hint="eastAsia"/>
          <w:sz w:val="24"/>
        </w:rPr>
        <w:t>纳税人识别号：</w:t>
      </w:r>
    </w:p>
    <w:p w14:paraId="0A017D23">
      <w:pPr>
        <w:spacing w:line="360" w:lineRule="auto"/>
        <w:ind w:firstLine="448" w:firstLineChars="200"/>
        <w:rPr>
          <w:sz w:val="24"/>
        </w:rPr>
      </w:pPr>
      <w:r>
        <w:rPr>
          <w:rFonts w:hint="eastAsia"/>
          <w:sz w:val="24"/>
        </w:rPr>
        <w:t>地址、电话：</w:t>
      </w:r>
    </w:p>
    <w:p w14:paraId="1E9E0748">
      <w:pPr>
        <w:spacing w:line="360" w:lineRule="auto"/>
        <w:ind w:firstLine="448" w:firstLineChars="200"/>
        <w:rPr>
          <w:sz w:val="24"/>
        </w:rPr>
      </w:pPr>
      <w:r>
        <w:rPr>
          <w:rFonts w:hint="eastAsia"/>
          <w:sz w:val="24"/>
        </w:rPr>
        <w:t>开户行及账号：</w:t>
      </w:r>
    </w:p>
    <w:p w14:paraId="07C3CFA4">
      <w:pPr>
        <w:spacing w:line="360" w:lineRule="auto"/>
        <w:ind w:firstLine="448" w:firstLineChars="200"/>
        <w:rPr>
          <w:sz w:val="24"/>
        </w:rPr>
      </w:pPr>
      <w:r>
        <w:rPr>
          <w:rFonts w:hint="eastAsia"/>
          <w:sz w:val="24"/>
        </w:rPr>
        <w:t>开具发票类型：□增值税专用发票         □增值税普通发票</w:t>
      </w:r>
    </w:p>
    <w:p w14:paraId="42BBA1E7">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4A381A61">
      <w:pPr>
        <w:spacing w:line="360" w:lineRule="auto"/>
        <w:ind w:firstLine="448" w:firstLineChars="200"/>
        <w:rPr>
          <w:b/>
          <w:sz w:val="24"/>
        </w:rPr>
      </w:pPr>
      <w:r>
        <w:rPr>
          <w:rFonts w:hint="eastAsia"/>
          <w:b/>
          <w:sz w:val="24"/>
        </w:rPr>
        <w:t>□</w:t>
      </w:r>
      <w:r>
        <w:rPr>
          <w:b/>
          <w:sz w:val="24"/>
        </w:rPr>
        <w:t>上门自取</w:t>
      </w:r>
    </w:p>
    <w:p w14:paraId="3E0A4722">
      <w:pPr>
        <w:spacing w:line="360" w:lineRule="auto"/>
        <w:ind w:firstLine="448" w:firstLineChars="200"/>
        <w:rPr>
          <w:sz w:val="24"/>
        </w:rPr>
      </w:pPr>
    </w:p>
    <w:p w14:paraId="4B174F05">
      <w:pPr>
        <w:spacing w:line="360" w:lineRule="auto"/>
        <w:ind w:firstLine="448" w:firstLineChars="200"/>
        <w:rPr>
          <w:b/>
          <w:sz w:val="24"/>
        </w:rPr>
      </w:pPr>
      <w:r>
        <w:rPr>
          <w:rFonts w:hint="eastAsia"/>
          <w:b/>
          <w:sz w:val="24"/>
        </w:rPr>
        <w:t>□</w:t>
      </w:r>
      <w:r>
        <w:rPr>
          <w:b/>
          <w:sz w:val="24"/>
        </w:rPr>
        <w:t>到付邮寄</w:t>
      </w:r>
    </w:p>
    <w:p w14:paraId="476409BB">
      <w:pPr>
        <w:spacing w:line="360" w:lineRule="auto"/>
        <w:ind w:firstLine="448" w:firstLineChars="200"/>
        <w:rPr>
          <w:sz w:val="24"/>
        </w:rPr>
      </w:pPr>
      <w:r>
        <w:rPr>
          <w:sz w:val="24"/>
        </w:rPr>
        <w:t>邮寄地址</w:t>
      </w:r>
      <w:r>
        <w:rPr>
          <w:rFonts w:hint="eastAsia"/>
          <w:sz w:val="24"/>
        </w:rPr>
        <w:t>、邮编</w:t>
      </w:r>
      <w:r>
        <w:rPr>
          <w:sz w:val="24"/>
        </w:rPr>
        <w:t>：</w:t>
      </w:r>
    </w:p>
    <w:p w14:paraId="6794F400">
      <w:pPr>
        <w:spacing w:line="360" w:lineRule="auto"/>
        <w:ind w:firstLine="448" w:firstLineChars="200"/>
        <w:rPr>
          <w:sz w:val="24"/>
        </w:rPr>
      </w:pPr>
      <w:r>
        <w:rPr>
          <w:sz w:val="24"/>
        </w:rPr>
        <w:t>邮寄联系人、手机号码：</w:t>
      </w:r>
    </w:p>
    <w:p w14:paraId="04C2CC43">
      <w:pPr>
        <w:spacing w:line="360" w:lineRule="auto"/>
        <w:ind w:firstLine="3808" w:firstLineChars="1700"/>
        <w:rPr>
          <w:sz w:val="24"/>
        </w:rPr>
      </w:pPr>
    </w:p>
    <w:p w14:paraId="721CA1B1">
      <w:pPr>
        <w:spacing w:line="360" w:lineRule="auto"/>
        <w:ind w:firstLine="3808" w:firstLineChars="1700"/>
        <w:rPr>
          <w:sz w:val="24"/>
        </w:rPr>
      </w:pPr>
      <w:r>
        <w:rPr>
          <w:sz w:val="24"/>
        </w:rPr>
        <w:t>投标人名称：</w:t>
      </w:r>
    </w:p>
    <w:p w14:paraId="7D09C5C5">
      <w:pPr>
        <w:spacing w:line="360" w:lineRule="auto"/>
        <w:ind w:firstLine="3808" w:firstLineChars="1700"/>
        <w:rPr>
          <w:sz w:val="24"/>
        </w:rPr>
      </w:pPr>
    </w:p>
    <w:p w14:paraId="07752C61">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C0799ED">
      <w:pPr>
        <w:spacing w:line="460" w:lineRule="exact"/>
        <w:rPr>
          <w:sz w:val="24"/>
        </w:rPr>
      </w:pPr>
    </w:p>
    <w:p w14:paraId="3057ACA0">
      <w:pPr>
        <w:widowControl/>
        <w:jc w:val="left"/>
        <w:rPr>
          <w:sz w:val="24"/>
        </w:rPr>
      </w:pPr>
      <w:r>
        <w:rPr>
          <w:sz w:val="24"/>
        </w:rPr>
        <w:br w:type="page"/>
      </w:r>
    </w:p>
    <w:p w14:paraId="4D723331">
      <w:pPr>
        <w:widowControl/>
        <w:jc w:val="left"/>
        <w:rPr>
          <w:b/>
          <w:sz w:val="24"/>
        </w:rPr>
      </w:pPr>
      <w:r>
        <w:rPr>
          <w:b/>
          <w:sz w:val="24"/>
        </w:rPr>
        <w:t>附件2</w:t>
      </w:r>
    </w:p>
    <w:p w14:paraId="7022C35F">
      <w:pPr>
        <w:autoSpaceDN w:val="0"/>
        <w:spacing w:line="360" w:lineRule="auto"/>
        <w:jc w:val="center"/>
        <w:rPr>
          <w:b/>
          <w:bCs/>
          <w:sz w:val="24"/>
        </w:rPr>
      </w:pPr>
    </w:p>
    <w:p w14:paraId="36A9B61A">
      <w:pPr>
        <w:ind w:right="84"/>
        <w:jc w:val="center"/>
        <w:rPr>
          <w:b/>
          <w:sz w:val="24"/>
        </w:rPr>
      </w:pPr>
      <w:r>
        <w:rPr>
          <w:rFonts w:hint="eastAsia"/>
          <w:b/>
          <w:sz w:val="24"/>
        </w:rPr>
        <w:t>供应商资格声明函</w:t>
      </w:r>
    </w:p>
    <w:p w14:paraId="05E4229B">
      <w:pPr>
        <w:spacing w:line="360" w:lineRule="auto"/>
        <w:ind w:firstLine="420"/>
        <w:jc w:val="center"/>
        <w:rPr>
          <w:b/>
          <w:sz w:val="24"/>
        </w:rPr>
      </w:pPr>
    </w:p>
    <w:p w14:paraId="49049800">
      <w:pPr>
        <w:spacing w:line="360" w:lineRule="auto"/>
        <w:rPr>
          <w:sz w:val="24"/>
        </w:rPr>
      </w:pPr>
      <w:r>
        <w:rPr>
          <w:rFonts w:hint="eastAsia"/>
          <w:sz w:val="24"/>
        </w:rPr>
        <w:t>天津市政府采购中心：</w:t>
      </w:r>
    </w:p>
    <w:p w14:paraId="5C70BF02">
      <w:pPr>
        <w:spacing w:line="360" w:lineRule="auto"/>
        <w:ind w:firstLine="448" w:firstLineChars="200"/>
        <w:rPr>
          <w:sz w:val="24"/>
        </w:rPr>
      </w:pPr>
      <w:r>
        <w:rPr>
          <w:rFonts w:hint="eastAsia"/>
          <w:sz w:val="24"/>
        </w:rPr>
        <w:t>我单位自愿参与本项目的政府采购活动，郑重承诺如下：</w:t>
      </w:r>
    </w:p>
    <w:p w14:paraId="118B0420">
      <w:pPr>
        <w:spacing w:line="360" w:lineRule="auto"/>
        <w:ind w:firstLine="448" w:firstLineChars="200"/>
        <w:rPr>
          <w:sz w:val="24"/>
        </w:rPr>
      </w:pPr>
      <w:r>
        <w:rPr>
          <w:rFonts w:hint="eastAsia"/>
          <w:sz w:val="24"/>
        </w:rPr>
        <w:t>（一）我单位具有良好的商业信誉和健全的财务会计制度；</w:t>
      </w:r>
    </w:p>
    <w:p w14:paraId="62176C3B">
      <w:pPr>
        <w:spacing w:line="360" w:lineRule="auto"/>
        <w:ind w:firstLine="448" w:firstLineChars="200"/>
        <w:rPr>
          <w:sz w:val="24"/>
        </w:rPr>
      </w:pPr>
      <w:r>
        <w:rPr>
          <w:rFonts w:hint="eastAsia"/>
          <w:sz w:val="24"/>
        </w:rPr>
        <w:t>（二）我单位依法缴纳税收和社会保障资金；</w:t>
      </w:r>
    </w:p>
    <w:p w14:paraId="30C4A85C">
      <w:pPr>
        <w:spacing w:line="360" w:lineRule="auto"/>
        <w:ind w:firstLine="448" w:firstLineChars="200"/>
        <w:rPr>
          <w:sz w:val="24"/>
        </w:rPr>
      </w:pPr>
      <w:r>
        <w:rPr>
          <w:rFonts w:hint="eastAsia"/>
          <w:sz w:val="24"/>
        </w:rPr>
        <w:t>（三）我单位具备履行合同所必需的设备和专业技术能力；</w:t>
      </w:r>
    </w:p>
    <w:p w14:paraId="5C39C797">
      <w:pPr>
        <w:spacing w:line="360" w:lineRule="auto"/>
        <w:ind w:firstLine="448" w:firstLineChars="200"/>
        <w:rPr>
          <w:sz w:val="24"/>
        </w:rPr>
      </w:pPr>
      <w:r>
        <w:rPr>
          <w:rFonts w:hint="eastAsia"/>
          <w:sz w:val="24"/>
        </w:rPr>
        <w:t>（四）参加政府采购活动前3年我单位在经营活动中没有重大违法记录；</w:t>
      </w:r>
    </w:p>
    <w:p w14:paraId="430FD76C">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03306640">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7F255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90F1794">
            <w:pPr>
              <w:jc w:val="center"/>
              <w:rPr>
                <w:szCs w:val="21"/>
              </w:rPr>
            </w:pPr>
            <w:r>
              <w:rPr>
                <w:rFonts w:hint="eastAsia"/>
                <w:szCs w:val="21"/>
              </w:rPr>
              <w:t>序号</w:t>
            </w:r>
          </w:p>
        </w:tc>
        <w:tc>
          <w:tcPr>
            <w:tcW w:w="2273" w:type="pct"/>
            <w:vAlign w:val="center"/>
          </w:tcPr>
          <w:p w14:paraId="4DC5D220">
            <w:pPr>
              <w:jc w:val="center"/>
              <w:rPr>
                <w:szCs w:val="21"/>
              </w:rPr>
            </w:pPr>
            <w:r>
              <w:rPr>
                <w:rFonts w:hint="eastAsia"/>
                <w:szCs w:val="21"/>
              </w:rPr>
              <w:t>单位名称</w:t>
            </w:r>
          </w:p>
        </w:tc>
        <w:tc>
          <w:tcPr>
            <w:tcW w:w="1667" w:type="pct"/>
            <w:vAlign w:val="center"/>
          </w:tcPr>
          <w:p w14:paraId="2DD853B3">
            <w:pPr>
              <w:jc w:val="center"/>
              <w:rPr>
                <w:szCs w:val="21"/>
              </w:rPr>
            </w:pPr>
            <w:r>
              <w:rPr>
                <w:rFonts w:hint="eastAsia"/>
                <w:szCs w:val="21"/>
              </w:rPr>
              <w:t>相互关系类型</w:t>
            </w:r>
          </w:p>
        </w:tc>
      </w:tr>
      <w:tr w14:paraId="168F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293BEB68">
            <w:pPr>
              <w:jc w:val="center"/>
              <w:rPr>
                <w:szCs w:val="21"/>
              </w:rPr>
            </w:pPr>
            <w:r>
              <w:rPr>
                <w:rFonts w:hint="eastAsia"/>
                <w:szCs w:val="21"/>
              </w:rPr>
              <w:t>1</w:t>
            </w:r>
          </w:p>
        </w:tc>
        <w:tc>
          <w:tcPr>
            <w:tcW w:w="2273" w:type="pct"/>
            <w:vAlign w:val="center"/>
          </w:tcPr>
          <w:p w14:paraId="6154F0CF">
            <w:pPr>
              <w:jc w:val="center"/>
              <w:rPr>
                <w:szCs w:val="21"/>
              </w:rPr>
            </w:pPr>
          </w:p>
        </w:tc>
        <w:tc>
          <w:tcPr>
            <w:tcW w:w="1667" w:type="pct"/>
            <w:vAlign w:val="center"/>
          </w:tcPr>
          <w:p w14:paraId="1C08786E">
            <w:pPr>
              <w:jc w:val="center"/>
              <w:rPr>
                <w:szCs w:val="21"/>
              </w:rPr>
            </w:pPr>
          </w:p>
        </w:tc>
      </w:tr>
      <w:tr w14:paraId="53AD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3FE6FB5C">
            <w:pPr>
              <w:jc w:val="center"/>
              <w:rPr>
                <w:szCs w:val="21"/>
              </w:rPr>
            </w:pPr>
            <w:r>
              <w:rPr>
                <w:rFonts w:hint="eastAsia"/>
                <w:szCs w:val="21"/>
              </w:rPr>
              <w:t>2</w:t>
            </w:r>
          </w:p>
        </w:tc>
        <w:tc>
          <w:tcPr>
            <w:tcW w:w="2273" w:type="pct"/>
            <w:vAlign w:val="center"/>
          </w:tcPr>
          <w:p w14:paraId="16D61983">
            <w:pPr>
              <w:jc w:val="center"/>
              <w:rPr>
                <w:szCs w:val="21"/>
              </w:rPr>
            </w:pPr>
          </w:p>
        </w:tc>
        <w:tc>
          <w:tcPr>
            <w:tcW w:w="1667" w:type="pct"/>
            <w:vAlign w:val="center"/>
          </w:tcPr>
          <w:p w14:paraId="735C229F">
            <w:pPr>
              <w:jc w:val="center"/>
              <w:rPr>
                <w:szCs w:val="21"/>
              </w:rPr>
            </w:pPr>
          </w:p>
        </w:tc>
      </w:tr>
      <w:tr w14:paraId="1890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1" w:type="pct"/>
            <w:vAlign w:val="center"/>
          </w:tcPr>
          <w:p w14:paraId="6EB3F916">
            <w:pPr>
              <w:jc w:val="center"/>
              <w:rPr>
                <w:szCs w:val="21"/>
              </w:rPr>
            </w:pPr>
            <w:r>
              <w:rPr>
                <w:rFonts w:hint="eastAsia"/>
                <w:szCs w:val="21"/>
              </w:rPr>
              <w:t>3</w:t>
            </w:r>
          </w:p>
        </w:tc>
        <w:tc>
          <w:tcPr>
            <w:tcW w:w="2273" w:type="pct"/>
            <w:vAlign w:val="center"/>
          </w:tcPr>
          <w:p w14:paraId="5124D30E">
            <w:pPr>
              <w:jc w:val="center"/>
              <w:rPr>
                <w:szCs w:val="21"/>
              </w:rPr>
            </w:pPr>
          </w:p>
        </w:tc>
        <w:tc>
          <w:tcPr>
            <w:tcW w:w="1667" w:type="pct"/>
            <w:vAlign w:val="center"/>
          </w:tcPr>
          <w:p w14:paraId="17295EC2">
            <w:pPr>
              <w:jc w:val="center"/>
              <w:rPr>
                <w:szCs w:val="21"/>
              </w:rPr>
            </w:pPr>
          </w:p>
        </w:tc>
      </w:tr>
    </w:tbl>
    <w:p w14:paraId="1C751764">
      <w:pPr>
        <w:spacing w:line="360" w:lineRule="auto"/>
        <w:ind w:firstLine="448" w:firstLineChars="200"/>
        <w:rPr>
          <w:sz w:val="24"/>
        </w:rPr>
      </w:pPr>
      <w:r>
        <w:rPr>
          <w:rFonts w:hint="eastAsia"/>
          <w:sz w:val="24"/>
        </w:rPr>
        <w:t>上表未填写的，视为不存在第（六）条所列情形</w:t>
      </w:r>
    </w:p>
    <w:p w14:paraId="312ED595">
      <w:pPr>
        <w:spacing w:line="360" w:lineRule="auto"/>
        <w:ind w:firstLine="448" w:firstLineChars="200"/>
        <w:rPr>
          <w:sz w:val="24"/>
        </w:rPr>
      </w:pPr>
    </w:p>
    <w:p w14:paraId="4613E29B">
      <w:pPr>
        <w:spacing w:line="360" w:lineRule="auto"/>
        <w:ind w:firstLine="448" w:firstLineChars="200"/>
        <w:rPr>
          <w:sz w:val="24"/>
        </w:rPr>
      </w:pPr>
      <w:r>
        <w:rPr>
          <w:rFonts w:hint="eastAsia"/>
          <w:sz w:val="24"/>
        </w:rPr>
        <w:t>上述声明真实有效，否则我单位承担全部责任和不利后果。</w:t>
      </w:r>
    </w:p>
    <w:p w14:paraId="1A441817">
      <w:pPr>
        <w:spacing w:line="360" w:lineRule="auto"/>
        <w:ind w:firstLine="448" w:firstLineChars="200"/>
        <w:rPr>
          <w:sz w:val="24"/>
        </w:rPr>
      </w:pPr>
    </w:p>
    <w:p w14:paraId="372A516E">
      <w:pPr>
        <w:spacing w:line="360" w:lineRule="auto"/>
        <w:ind w:firstLine="224" w:firstLineChars="100"/>
        <w:rPr>
          <w:sz w:val="24"/>
        </w:rPr>
      </w:pPr>
      <w:r>
        <w:rPr>
          <w:sz w:val="24"/>
        </w:rPr>
        <w:t>投标人名称：</w:t>
      </w:r>
    </w:p>
    <w:p w14:paraId="14903C50">
      <w:pPr>
        <w:spacing w:line="360" w:lineRule="auto"/>
        <w:ind w:firstLine="224" w:firstLineChars="100"/>
        <w:rPr>
          <w:sz w:val="24"/>
        </w:rPr>
      </w:pPr>
    </w:p>
    <w:p w14:paraId="4B472147">
      <w:pPr>
        <w:spacing w:line="360" w:lineRule="auto"/>
        <w:ind w:firstLine="224" w:firstLineChars="100"/>
        <w:rPr>
          <w:position w:val="-40"/>
          <w:sz w:val="24"/>
        </w:rPr>
      </w:pPr>
      <w:r>
        <w:rPr>
          <w:sz w:val="24"/>
        </w:rPr>
        <w:t xml:space="preserve">日期：  </w:t>
      </w:r>
    </w:p>
    <w:p w14:paraId="73F63B72">
      <w:pPr>
        <w:autoSpaceDN w:val="0"/>
        <w:spacing w:line="360" w:lineRule="auto"/>
        <w:jc w:val="center"/>
        <w:rPr>
          <w:b/>
          <w:bCs/>
          <w:sz w:val="24"/>
        </w:rPr>
      </w:pPr>
    </w:p>
    <w:p w14:paraId="40183F49">
      <w:pPr>
        <w:widowControl/>
        <w:jc w:val="left"/>
        <w:rPr>
          <w:b/>
          <w:bCs/>
          <w:sz w:val="24"/>
        </w:rPr>
      </w:pPr>
      <w:r>
        <w:rPr>
          <w:b/>
          <w:bCs/>
          <w:sz w:val="24"/>
        </w:rPr>
        <w:br w:type="page"/>
      </w:r>
    </w:p>
    <w:p w14:paraId="21BA3835">
      <w:pPr>
        <w:spacing w:line="460" w:lineRule="exact"/>
        <w:rPr>
          <w:b/>
          <w:sz w:val="24"/>
        </w:rPr>
      </w:pPr>
      <w:r>
        <w:rPr>
          <w:rFonts w:hint="eastAsia"/>
          <w:b/>
          <w:bCs/>
          <w:sz w:val="24"/>
        </w:rPr>
        <w:t>附件2-1：招标文件第一部分供应商资格要求的证件</w:t>
      </w:r>
    </w:p>
    <w:p w14:paraId="15EE76F8">
      <w:pPr>
        <w:widowControl/>
        <w:jc w:val="left"/>
        <w:rPr>
          <w:b/>
          <w:bCs/>
          <w:sz w:val="24"/>
        </w:rPr>
      </w:pPr>
      <w:r>
        <w:rPr>
          <w:b/>
          <w:bCs/>
          <w:sz w:val="24"/>
        </w:rPr>
        <w:br w:type="page"/>
      </w:r>
    </w:p>
    <w:p w14:paraId="138AFB4A">
      <w:pPr>
        <w:autoSpaceDN w:val="0"/>
        <w:spacing w:line="360" w:lineRule="auto"/>
        <w:rPr>
          <w:b/>
          <w:bCs/>
          <w:sz w:val="24"/>
        </w:rPr>
      </w:pPr>
      <w:r>
        <w:rPr>
          <w:rFonts w:hint="eastAsia"/>
          <w:b/>
          <w:bCs/>
          <w:sz w:val="24"/>
        </w:rPr>
        <w:t>附件3</w:t>
      </w:r>
    </w:p>
    <w:p w14:paraId="2357F742">
      <w:pPr>
        <w:autoSpaceDN w:val="0"/>
        <w:spacing w:line="360" w:lineRule="auto"/>
        <w:jc w:val="center"/>
        <w:rPr>
          <w:b/>
          <w:bCs/>
          <w:sz w:val="24"/>
        </w:rPr>
      </w:pPr>
    </w:p>
    <w:p w14:paraId="15624436">
      <w:pPr>
        <w:autoSpaceDN w:val="0"/>
        <w:spacing w:line="360" w:lineRule="auto"/>
        <w:jc w:val="center"/>
        <w:rPr>
          <w:b/>
          <w:bCs/>
          <w:sz w:val="24"/>
        </w:rPr>
      </w:pPr>
      <w:r>
        <w:rPr>
          <w:b/>
          <w:bCs/>
          <w:sz w:val="24"/>
        </w:rPr>
        <w:t>开标一览表</w:t>
      </w:r>
    </w:p>
    <w:p w14:paraId="2E614F4C">
      <w:pPr>
        <w:ind w:right="84"/>
        <w:rPr>
          <w:sz w:val="24"/>
        </w:rPr>
      </w:pPr>
    </w:p>
    <w:p w14:paraId="6B2D7EB3">
      <w:pPr>
        <w:spacing w:line="460" w:lineRule="exact"/>
        <w:rPr>
          <w:sz w:val="24"/>
        </w:rPr>
      </w:pPr>
      <w:r>
        <w:rPr>
          <w:sz w:val="24"/>
        </w:rPr>
        <w:t>项目名称：</w:t>
      </w:r>
      <w:r>
        <w:rPr>
          <w:sz w:val="24"/>
          <w:u w:val="single"/>
        </w:rPr>
        <w:t xml:space="preserve">                    </w:t>
      </w:r>
    </w:p>
    <w:p w14:paraId="06C9174B">
      <w:pPr>
        <w:spacing w:line="460" w:lineRule="exact"/>
        <w:rPr>
          <w:sz w:val="24"/>
        </w:rPr>
      </w:pPr>
      <w:r>
        <w:rPr>
          <w:sz w:val="24"/>
        </w:rPr>
        <w:t>项目编号：</w:t>
      </w:r>
      <w:r>
        <w:rPr>
          <w:sz w:val="24"/>
          <w:u w:val="single"/>
        </w:rPr>
        <w:t xml:space="preserve">                    </w:t>
      </w:r>
    </w:p>
    <w:p w14:paraId="07243C67">
      <w:pPr>
        <w:spacing w:line="460" w:lineRule="exact"/>
        <w:rPr>
          <w:sz w:val="24"/>
          <w:u w:val="single"/>
        </w:rPr>
      </w:pPr>
      <w:r>
        <w:rPr>
          <w:sz w:val="24"/>
        </w:rPr>
        <w:t>包号：</w:t>
      </w:r>
      <w:r>
        <w:rPr>
          <w:sz w:val="24"/>
          <w:u w:val="single"/>
        </w:rPr>
        <w:t xml:space="preserve">                        </w:t>
      </w:r>
    </w:p>
    <w:p w14:paraId="650C28B1">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0C65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14:paraId="1038D410">
            <w:pPr>
              <w:spacing w:line="460" w:lineRule="exact"/>
              <w:jc w:val="center"/>
              <w:rPr>
                <w:sz w:val="24"/>
              </w:rPr>
            </w:pPr>
            <w:r>
              <w:rPr>
                <w:sz w:val="24"/>
              </w:rPr>
              <w:t>包号</w:t>
            </w:r>
          </w:p>
        </w:tc>
        <w:tc>
          <w:tcPr>
            <w:tcW w:w="1278" w:type="pct"/>
            <w:vAlign w:val="center"/>
          </w:tcPr>
          <w:p w14:paraId="47DC54BC">
            <w:pPr>
              <w:spacing w:line="460" w:lineRule="exact"/>
              <w:jc w:val="center"/>
              <w:rPr>
                <w:sz w:val="24"/>
              </w:rPr>
            </w:pPr>
            <w:r>
              <w:rPr>
                <w:sz w:val="24"/>
              </w:rPr>
              <w:t>服务名称</w:t>
            </w:r>
          </w:p>
        </w:tc>
        <w:tc>
          <w:tcPr>
            <w:tcW w:w="806" w:type="pct"/>
            <w:vAlign w:val="center"/>
          </w:tcPr>
          <w:p w14:paraId="249F9A3C">
            <w:pPr>
              <w:spacing w:line="460" w:lineRule="exact"/>
              <w:jc w:val="center"/>
              <w:rPr>
                <w:sz w:val="24"/>
              </w:rPr>
            </w:pPr>
            <w:r>
              <w:rPr>
                <w:sz w:val="24"/>
              </w:rPr>
              <w:t>数量</w:t>
            </w:r>
          </w:p>
        </w:tc>
        <w:tc>
          <w:tcPr>
            <w:tcW w:w="1202" w:type="pct"/>
            <w:vAlign w:val="center"/>
          </w:tcPr>
          <w:p w14:paraId="42AFC6E9">
            <w:pPr>
              <w:spacing w:line="460" w:lineRule="exact"/>
              <w:jc w:val="center"/>
              <w:rPr>
                <w:sz w:val="24"/>
              </w:rPr>
            </w:pPr>
            <w:r>
              <w:rPr>
                <w:sz w:val="24"/>
              </w:rPr>
              <w:t>投标总价</w:t>
            </w:r>
          </w:p>
        </w:tc>
        <w:tc>
          <w:tcPr>
            <w:tcW w:w="984" w:type="pct"/>
            <w:vAlign w:val="center"/>
          </w:tcPr>
          <w:p w14:paraId="6F483BC0">
            <w:pPr>
              <w:spacing w:line="460" w:lineRule="exact"/>
              <w:jc w:val="center"/>
              <w:rPr>
                <w:sz w:val="24"/>
              </w:rPr>
            </w:pPr>
            <w:r>
              <w:rPr>
                <w:sz w:val="24"/>
              </w:rPr>
              <w:t>备注</w:t>
            </w:r>
          </w:p>
        </w:tc>
      </w:tr>
      <w:tr w14:paraId="1FB17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02E45EEB">
            <w:pPr>
              <w:spacing w:line="460" w:lineRule="exact"/>
              <w:rPr>
                <w:sz w:val="24"/>
              </w:rPr>
            </w:pPr>
          </w:p>
        </w:tc>
        <w:tc>
          <w:tcPr>
            <w:tcW w:w="1278" w:type="pct"/>
          </w:tcPr>
          <w:p w14:paraId="2737DE27">
            <w:pPr>
              <w:spacing w:line="460" w:lineRule="exact"/>
              <w:rPr>
                <w:sz w:val="24"/>
              </w:rPr>
            </w:pPr>
          </w:p>
        </w:tc>
        <w:tc>
          <w:tcPr>
            <w:tcW w:w="806" w:type="pct"/>
          </w:tcPr>
          <w:p w14:paraId="47603C26">
            <w:pPr>
              <w:spacing w:line="460" w:lineRule="exact"/>
              <w:rPr>
                <w:sz w:val="24"/>
              </w:rPr>
            </w:pPr>
          </w:p>
        </w:tc>
        <w:tc>
          <w:tcPr>
            <w:tcW w:w="1202" w:type="pct"/>
          </w:tcPr>
          <w:p w14:paraId="7D691F9F">
            <w:pPr>
              <w:spacing w:line="460" w:lineRule="exact"/>
              <w:rPr>
                <w:sz w:val="24"/>
              </w:rPr>
            </w:pPr>
          </w:p>
        </w:tc>
        <w:tc>
          <w:tcPr>
            <w:tcW w:w="984" w:type="pct"/>
          </w:tcPr>
          <w:p w14:paraId="2BCA2A0B">
            <w:pPr>
              <w:spacing w:line="460" w:lineRule="exact"/>
              <w:rPr>
                <w:sz w:val="24"/>
              </w:rPr>
            </w:pPr>
          </w:p>
        </w:tc>
      </w:tr>
      <w:tr w14:paraId="6B22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2027B3EE">
            <w:pPr>
              <w:spacing w:line="460" w:lineRule="exact"/>
              <w:rPr>
                <w:sz w:val="24"/>
              </w:rPr>
            </w:pPr>
          </w:p>
        </w:tc>
        <w:tc>
          <w:tcPr>
            <w:tcW w:w="1278" w:type="pct"/>
          </w:tcPr>
          <w:p w14:paraId="112F7FD1">
            <w:pPr>
              <w:spacing w:line="460" w:lineRule="exact"/>
              <w:rPr>
                <w:sz w:val="24"/>
              </w:rPr>
            </w:pPr>
          </w:p>
        </w:tc>
        <w:tc>
          <w:tcPr>
            <w:tcW w:w="806" w:type="pct"/>
          </w:tcPr>
          <w:p w14:paraId="746BA600">
            <w:pPr>
              <w:spacing w:line="460" w:lineRule="exact"/>
              <w:rPr>
                <w:sz w:val="24"/>
              </w:rPr>
            </w:pPr>
          </w:p>
        </w:tc>
        <w:tc>
          <w:tcPr>
            <w:tcW w:w="1202" w:type="pct"/>
          </w:tcPr>
          <w:p w14:paraId="0FE352E0">
            <w:pPr>
              <w:spacing w:line="460" w:lineRule="exact"/>
              <w:rPr>
                <w:sz w:val="24"/>
              </w:rPr>
            </w:pPr>
          </w:p>
        </w:tc>
        <w:tc>
          <w:tcPr>
            <w:tcW w:w="984" w:type="pct"/>
          </w:tcPr>
          <w:p w14:paraId="1986F838">
            <w:pPr>
              <w:spacing w:line="460" w:lineRule="exact"/>
              <w:rPr>
                <w:sz w:val="24"/>
              </w:rPr>
            </w:pPr>
          </w:p>
        </w:tc>
      </w:tr>
      <w:tr w14:paraId="4FFAC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 w:type="pct"/>
          </w:tcPr>
          <w:p w14:paraId="2FF72EF1">
            <w:pPr>
              <w:spacing w:line="460" w:lineRule="exact"/>
              <w:rPr>
                <w:sz w:val="24"/>
              </w:rPr>
            </w:pPr>
          </w:p>
        </w:tc>
        <w:tc>
          <w:tcPr>
            <w:tcW w:w="1278" w:type="pct"/>
          </w:tcPr>
          <w:p w14:paraId="1A34CD58">
            <w:pPr>
              <w:spacing w:line="460" w:lineRule="exact"/>
              <w:rPr>
                <w:sz w:val="24"/>
              </w:rPr>
            </w:pPr>
          </w:p>
        </w:tc>
        <w:tc>
          <w:tcPr>
            <w:tcW w:w="806" w:type="pct"/>
          </w:tcPr>
          <w:p w14:paraId="6F1EA012">
            <w:pPr>
              <w:spacing w:line="460" w:lineRule="exact"/>
              <w:rPr>
                <w:sz w:val="24"/>
              </w:rPr>
            </w:pPr>
          </w:p>
        </w:tc>
        <w:tc>
          <w:tcPr>
            <w:tcW w:w="1202" w:type="pct"/>
          </w:tcPr>
          <w:p w14:paraId="71EF7D20">
            <w:pPr>
              <w:spacing w:line="460" w:lineRule="exact"/>
              <w:rPr>
                <w:sz w:val="24"/>
              </w:rPr>
            </w:pPr>
          </w:p>
        </w:tc>
        <w:tc>
          <w:tcPr>
            <w:tcW w:w="984" w:type="pct"/>
          </w:tcPr>
          <w:p w14:paraId="321D4879">
            <w:pPr>
              <w:spacing w:line="460" w:lineRule="exact"/>
              <w:rPr>
                <w:sz w:val="24"/>
              </w:rPr>
            </w:pPr>
          </w:p>
        </w:tc>
      </w:tr>
      <w:tr w14:paraId="73D6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76071013">
            <w:pPr>
              <w:spacing w:line="460" w:lineRule="exact"/>
              <w:rPr>
                <w:sz w:val="24"/>
              </w:rPr>
            </w:pPr>
          </w:p>
        </w:tc>
        <w:tc>
          <w:tcPr>
            <w:tcW w:w="1278" w:type="pct"/>
          </w:tcPr>
          <w:p w14:paraId="3F24F380">
            <w:pPr>
              <w:spacing w:line="460" w:lineRule="exact"/>
              <w:rPr>
                <w:sz w:val="24"/>
              </w:rPr>
            </w:pPr>
          </w:p>
        </w:tc>
        <w:tc>
          <w:tcPr>
            <w:tcW w:w="806" w:type="pct"/>
          </w:tcPr>
          <w:p w14:paraId="6CC270C1">
            <w:pPr>
              <w:spacing w:line="460" w:lineRule="exact"/>
              <w:rPr>
                <w:sz w:val="24"/>
              </w:rPr>
            </w:pPr>
          </w:p>
        </w:tc>
        <w:tc>
          <w:tcPr>
            <w:tcW w:w="1202" w:type="pct"/>
          </w:tcPr>
          <w:p w14:paraId="0BB6C183">
            <w:pPr>
              <w:spacing w:line="460" w:lineRule="exact"/>
              <w:rPr>
                <w:sz w:val="24"/>
              </w:rPr>
            </w:pPr>
          </w:p>
        </w:tc>
        <w:tc>
          <w:tcPr>
            <w:tcW w:w="984" w:type="pct"/>
          </w:tcPr>
          <w:p w14:paraId="2EF09E39">
            <w:pPr>
              <w:spacing w:line="460" w:lineRule="exact"/>
              <w:rPr>
                <w:sz w:val="24"/>
              </w:rPr>
            </w:pPr>
          </w:p>
        </w:tc>
      </w:tr>
      <w:tr w14:paraId="304D1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6CBB722C">
            <w:pPr>
              <w:spacing w:line="460" w:lineRule="exact"/>
              <w:rPr>
                <w:sz w:val="24"/>
              </w:rPr>
            </w:pPr>
          </w:p>
        </w:tc>
        <w:tc>
          <w:tcPr>
            <w:tcW w:w="1278" w:type="pct"/>
          </w:tcPr>
          <w:p w14:paraId="607FDC00">
            <w:pPr>
              <w:spacing w:line="460" w:lineRule="exact"/>
              <w:rPr>
                <w:sz w:val="24"/>
              </w:rPr>
            </w:pPr>
          </w:p>
        </w:tc>
        <w:tc>
          <w:tcPr>
            <w:tcW w:w="806" w:type="pct"/>
          </w:tcPr>
          <w:p w14:paraId="2D1BD3DF">
            <w:pPr>
              <w:spacing w:line="460" w:lineRule="exact"/>
              <w:rPr>
                <w:sz w:val="24"/>
              </w:rPr>
            </w:pPr>
          </w:p>
        </w:tc>
        <w:tc>
          <w:tcPr>
            <w:tcW w:w="1202" w:type="pct"/>
          </w:tcPr>
          <w:p w14:paraId="46B82F42">
            <w:pPr>
              <w:spacing w:line="460" w:lineRule="exact"/>
              <w:rPr>
                <w:sz w:val="24"/>
              </w:rPr>
            </w:pPr>
          </w:p>
        </w:tc>
        <w:tc>
          <w:tcPr>
            <w:tcW w:w="984" w:type="pct"/>
          </w:tcPr>
          <w:p w14:paraId="05DF5AB6">
            <w:pPr>
              <w:spacing w:line="460" w:lineRule="exact"/>
              <w:rPr>
                <w:sz w:val="24"/>
              </w:rPr>
            </w:pPr>
          </w:p>
        </w:tc>
      </w:tr>
      <w:tr w14:paraId="1D52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28B34F85">
            <w:pPr>
              <w:spacing w:line="460" w:lineRule="exact"/>
              <w:rPr>
                <w:sz w:val="24"/>
              </w:rPr>
            </w:pPr>
          </w:p>
        </w:tc>
        <w:tc>
          <w:tcPr>
            <w:tcW w:w="1278" w:type="pct"/>
          </w:tcPr>
          <w:p w14:paraId="274B4E55">
            <w:pPr>
              <w:spacing w:line="460" w:lineRule="exact"/>
              <w:rPr>
                <w:sz w:val="24"/>
              </w:rPr>
            </w:pPr>
          </w:p>
        </w:tc>
        <w:tc>
          <w:tcPr>
            <w:tcW w:w="806" w:type="pct"/>
          </w:tcPr>
          <w:p w14:paraId="7B19F24E">
            <w:pPr>
              <w:spacing w:line="460" w:lineRule="exact"/>
              <w:rPr>
                <w:sz w:val="24"/>
              </w:rPr>
            </w:pPr>
          </w:p>
        </w:tc>
        <w:tc>
          <w:tcPr>
            <w:tcW w:w="1202" w:type="pct"/>
          </w:tcPr>
          <w:p w14:paraId="50D483AB">
            <w:pPr>
              <w:spacing w:line="460" w:lineRule="exact"/>
              <w:rPr>
                <w:sz w:val="24"/>
              </w:rPr>
            </w:pPr>
          </w:p>
        </w:tc>
        <w:tc>
          <w:tcPr>
            <w:tcW w:w="984" w:type="pct"/>
          </w:tcPr>
          <w:p w14:paraId="601413E8">
            <w:pPr>
              <w:spacing w:line="460" w:lineRule="exact"/>
              <w:rPr>
                <w:sz w:val="24"/>
              </w:rPr>
            </w:pPr>
          </w:p>
        </w:tc>
      </w:tr>
      <w:tr w14:paraId="018D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 w:type="pct"/>
          </w:tcPr>
          <w:p w14:paraId="3538C09A">
            <w:pPr>
              <w:spacing w:line="460" w:lineRule="exact"/>
              <w:rPr>
                <w:sz w:val="24"/>
              </w:rPr>
            </w:pPr>
          </w:p>
        </w:tc>
        <w:tc>
          <w:tcPr>
            <w:tcW w:w="1278" w:type="pct"/>
          </w:tcPr>
          <w:p w14:paraId="74C4E8F3">
            <w:pPr>
              <w:spacing w:line="460" w:lineRule="exact"/>
              <w:rPr>
                <w:sz w:val="24"/>
              </w:rPr>
            </w:pPr>
          </w:p>
        </w:tc>
        <w:tc>
          <w:tcPr>
            <w:tcW w:w="806" w:type="pct"/>
          </w:tcPr>
          <w:p w14:paraId="3689410E">
            <w:pPr>
              <w:spacing w:line="460" w:lineRule="exact"/>
              <w:rPr>
                <w:sz w:val="24"/>
              </w:rPr>
            </w:pPr>
          </w:p>
        </w:tc>
        <w:tc>
          <w:tcPr>
            <w:tcW w:w="1202" w:type="pct"/>
          </w:tcPr>
          <w:p w14:paraId="3297701B">
            <w:pPr>
              <w:spacing w:line="460" w:lineRule="exact"/>
              <w:rPr>
                <w:sz w:val="24"/>
              </w:rPr>
            </w:pPr>
          </w:p>
        </w:tc>
        <w:tc>
          <w:tcPr>
            <w:tcW w:w="984" w:type="pct"/>
          </w:tcPr>
          <w:p w14:paraId="77CE807E">
            <w:pPr>
              <w:spacing w:line="460" w:lineRule="exact"/>
              <w:rPr>
                <w:sz w:val="24"/>
              </w:rPr>
            </w:pPr>
          </w:p>
        </w:tc>
      </w:tr>
      <w:tr w14:paraId="6193E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2B24F15E">
            <w:pPr>
              <w:spacing w:line="460" w:lineRule="exact"/>
              <w:rPr>
                <w:sz w:val="24"/>
              </w:rPr>
            </w:pPr>
          </w:p>
        </w:tc>
        <w:tc>
          <w:tcPr>
            <w:tcW w:w="1278" w:type="pct"/>
          </w:tcPr>
          <w:p w14:paraId="6FA06491">
            <w:pPr>
              <w:spacing w:line="460" w:lineRule="exact"/>
              <w:rPr>
                <w:sz w:val="24"/>
              </w:rPr>
            </w:pPr>
          </w:p>
        </w:tc>
        <w:tc>
          <w:tcPr>
            <w:tcW w:w="806" w:type="pct"/>
          </w:tcPr>
          <w:p w14:paraId="48CA0488">
            <w:pPr>
              <w:spacing w:line="460" w:lineRule="exact"/>
              <w:rPr>
                <w:sz w:val="24"/>
              </w:rPr>
            </w:pPr>
          </w:p>
        </w:tc>
        <w:tc>
          <w:tcPr>
            <w:tcW w:w="1202" w:type="pct"/>
          </w:tcPr>
          <w:p w14:paraId="237B9217">
            <w:pPr>
              <w:spacing w:line="460" w:lineRule="exact"/>
              <w:rPr>
                <w:sz w:val="24"/>
              </w:rPr>
            </w:pPr>
          </w:p>
        </w:tc>
        <w:tc>
          <w:tcPr>
            <w:tcW w:w="984" w:type="pct"/>
          </w:tcPr>
          <w:p w14:paraId="0D129FD3">
            <w:pPr>
              <w:spacing w:line="460" w:lineRule="exact"/>
              <w:rPr>
                <w:sz w:val="24"/>
              </w:rPr>
            </w:pPr>
          </w:p>
        </w:tc>
      </w:tr>
      <w:tr w14:paraId="4B00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00B4D638">
            <w:pPr>
              <w:spacing w:line="460" w:lineRule="exact"/>
              <w:rPr>
                <w:sz w:val="24"/>
              </w:rPr>
            </w:pPr>
          </w:p>
        </w:tc>
        <w:tc>
          <w:tcPr>
            <w:tcW w:w="1278" w:type="pct"/>
          </w:tcPr>
          <w:p w14:paraId="47B58DCA">
            <w:pPr>
              <w:spacing w:line="460" w:lineRule="exact"/>
              <w:rPr>
                <w:sz w:val="24"/>
              </w:rPr>
            </w:pPr>
          </w:p>
        </w:tc>
        <w:tc>
          <w:tcPr>
            <w:tcW w:w="806" w:type="pct"/>
          </w:tcPr>
          <w:p w14:paraId="7E57EA1B">
            <w:pPr>
              <w:spacing w:line="460" w:lineRule="exact"/>
              <w:rPr>
                <w:sz w:val="24"/>
              </w:rPr>
            </w:pPr>
          </w:p>
        </w:tc>
        <w:tc>
          <w:tcPr>
            <w:tcW w:w="1202" w:type="pct"/>
          </w:tcPr>
          <w:p w14:paraId="3C060D19">
            <w:pPr>
              <w:spacing w:line="460" w:lineRule="exact"/>
              <w:rPr>
                <w:sz w:val="24"/>
              </w:rPr>
            </w:pPr>
          </w:p>
        </w:tc>
        <w:tc>
          <w:tcPr>
            <w:tcW w:w="984" w:type="pct"/>
          </w:tcPr>
          <w:p w14:paraId="7DA0139D">
            <w:pPr>
              <w:spacing w:line="460" w:lineRule="exact"/>
              <w:rPr>
                <w:sz w:val="24"/>
              </w:rPr>
            </w:pPr>
          </w:p>
        </w:tc>
      </w:tr>
      <w:tr w14:paraId="1C354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7AA7FEED">
            <w:pPr>
              <w:spacing w:line="460" w:lineRule="exact"/>
              <w:rPr>
                <w:sz w:val="24"/>
              </w:rPr>
            </w:pPr>
          </w:p>
        </w:tc>
        <w:tc>
          <w:tcPr>
            <w:tcW w:w="1278" w:type="pct"/>
          </w:tcPr>
          <w:p w14:paraId="08E6E344">
            <w:pPr>
              <w:spacing w:line="460" w:lineRule="exact"/>
              <w:rPr>
                <w:sz w:val="24"/>
              </w:rPr>
            </w:pPr>
          </w:p>
        </w:tc>
        <w:tc>
          <w:tcPr>
            <w:tcW w:w="806" w:type="pct"/>
          </w:tcPr>
          <w:p w14:paraId="1F155E00">
            <w:pPr>
              <w:spacing w:line="460" w:lineRule="exact"/>
              <w:rPr>
                <w:sz w:val="24"/>
              </w:rPr>
            </w:pPr>
          </w:p>
        </w:tc>
        <w:tc>
          <w:tcPr>
            <w:tcW w:w="1202" w:type="pct"/>
          </w:tcPr>
          <w:p w14:paraId="4BE3C6D9">
            <w:pPr>
              <w:spacing w:line="460" w:lineRule="exact"/>
              <w:rPr>
                <w:sz w:val="24"/>
              </w:rPr>
            </w:pPr>
          </w:p>
        </w:tc>
        <w:tc>
          <w:tcPr>
            <w:tcW w:w="984" w:type="pct"/>
          </w:tcPr>
          <w:p w14:paraId="25A208CE">
            <w:pPr>
              <w:spacing w:line="460" w:lineRule="exact"/>
              <w:rPr>
                <w:sz w:val="24"/>
              </w:rPr>
            </w:pPr>
          </w:p>
        </w:tc>
      </w:tr>
      <w:tr w14:paraId="74F1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30" w:type="pct"/>
          </w:tcPr>
          <w:p w14:paraId="2758968D">
            <w:pPr>
              <w:spacing w:line="460" w:lineRule="exact"/>
              <w:rPr>
                <w:sz w:val="24"/>
              </w:rPr>
            </w:pPr>
          </w:p>
        </w:tc>
        <w:tc>
          <w:tcPr>
            <w:tcW w:w="1278" w:type="pct"/>
          </w:tcPr>
          <w:p w14:paraId="6D392A2E">
            <w:pPr>
              <w:spacing w:line="460" w:lineRule="exact"/>
              <w:rPr>
                <w:sz w:val="24"/>
              </w:rPr>
            </w:pPr>
          </w:p>
        </w:tc>
        <w:tc>
          <w:tcPr>
            <w:tcW w:w="806" w:type="pct"/>
          </w:tcPr>
          <w:p w14:paraId="6D319130">
            <w:pPr>
              <w:spacing w:line="460" w:lineRule="exact"/>
              <w:rPr>
                <w:sz w:val="24"/>
              </w:rPr>
            </w:pPr>
          </w:p>
        </w:tc>
        <w:tc>
          <w:tcPr>
            <w:tcW w:w="1202" w:type="pct"/>
          </w:tcPr>
          <w:p w14:paraId="25428B0A">
            <w:pPr>
              <w:spacing w:line="460" w:lineRule="exact"/>
              <w:rPr>
                <w:sz w:val="24"/>
              </w:rPr>
            </w:pPr>
          </w:p>
        </w:tc>
        <w:tc>
          <w:tcPr>
            <w:tcW w:w="984" w:type="pct"/>
          </w:tcPr>
          <w:p w14:paraId="35F4BA12">
            <w:pPr>
              <w:spacing w:line="460" w:lineRule="exact"/>
              <w:rPr>
                <w:sz w:val="24"/>
              </w:rPr>
            </w:pPr>
          </w:p>
        </w:tc>
      </w:tr>
      <w:tr w14:paraId="74693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4D021C1C">
            <w:pPr>
              <w:spacing w:line="460" w:lineRule="exact"/>
              <w:rPr>
                <w:sz w:val="24"/>
              </w:rPr>
            </w:pPr>
          </w:p>
        </w:tc>
        <w:tc>
          <w:tcPr>
            <w:tcW w:w="1278" w:type="pct"/>
          </w:tcPr>
          <w:p w14:paraId="0515E843">
            <w:pPr>
              <w:spacing w:line="460" w:lineRule="exact"/>
              <w:rPr>
                <w:sz w:val="24"/>
              </w:rPr>
            </w:pPr>
          </w:p>
        </w:tc>
        <w:tc>
          <w:tcPr>
            <w:tcW w:w="806" w:type="pct"/>
          </w:tcPr>
          <w:p w14:paraId="432E5092">
            <w:pPr>
              <w:spacing w:line="460" w:lineRule="exact"/>
              <w:rPr>
                <w:sz w:val="24"/>
              </w:rPr>
            </w:pPr>
          </w:p>
        </w:tc>
        <w:tc>
          <w:tcPr>
            <w:tcW w:w="1202" w:type="pct"/>
          </w:tcPr>
          <w:p w14:paraId="2F4F6E20">
            <w:pPr>
              <w:spacing w:line="460" w:lineRule="exact"/>
              <w:rPr>
                <w:sz w:val="24"/>
              </w:rPr>
            </w:pPr>
          </w:p>
        </w:tc>
        <w:tc>
          <w:tcPr>
            <w:tcW w:w="984" w:type="pct"/>
          </w:tcPr>
          <w:p w14:paraId="68CFBC87">
            <w:pPr>
              <w:spacing w:line="460" w:lineRule="exact"/>
              <w:rPr>
                <w:sz w:val="24"/>
              </w:rPr>
            </w:pPr>
          </w:p>
        </w:tc>
      </w:tr>
    </w:tbl>
    <w:p w14:paraId="4845EC7C">
      <w:pPr>
        <w:spacing w:line="360" w:lineRule="auto"/>
        <w:ind w:right="84" w:firstLine="420"/>
        <w:rPr>
          <w:sz w:val="24"/>
        </w:rPr>
      </w:pPr>
    </w:p>
    <w:p w14:paraId="71E83AA8">
      <w:pPr>
        <w:spacing w:line="360" w:lineRule="auto"/>
        <w:ind w:right="84" w:firstLine="420"/>
        <w:rPr>
          <w:sz w:val="24"/>
        </w:rPr>
      </w:pPr>
    </w:p>
    <w:p w14:paraId="3167A7AA">
      <w:pPr>
        <w:spacing w:line="360" w:lineRule="auto"/>
        <w:ind w:firstLine="3808" w:firstLineChars="1700"/>
        <w:rPr>
          <w:sz w:val="24"/>
        </w:rPr>
      </w:pPr>
      <w:r>
        <w:rPr>
          <w:sz w:val="24"/>
        </w:rPr>
        <w:t>投标人名称：</w:t>
      </w:r>
    </w:p>
    <w:p w14:paraId="40F672B3">
      <w:pPr>
        <w:spacing w:line="360" w:lineRule="auto"/>
        <w:ind w:firstLine="3808" w:firstLineChars="1700"/>
        <w:rPr>
          <w:sz w:val="24"/>
        </w:rPr>
      </w:pPr>
    </w:p>
    <w:p w14:paraId="1E7065B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A2384A3">
      <w:pPr>
        <w:spacing w:line="360" w:lineRule="auto"/>
        <w:ind w:right="84" w:firstLine="420"/>
        <w:rPr>
          <w:sz w:val="24"/>
        </w:rPr>
      </w:pPr>
    </w:p>
    <w:p w14:paraId="4D604BDD">
      <w:pPr>
        <w:widowControl/>
        <w:jc w:val="left"/>
        <w:rPr>
          <w:sz w:val="24"/>
        </w:rPr>
      </w:pPr>
      <w:r>
        <w:rPr>
          <w:sz w:val="24"/>
        </w:rPr>
        <w:br w:type="page"/>
      </w:r>
    </w:p>
    <w:p w14:paraId="0295527C">
      <w:pPr>
        <w:tabs>
          <w:tab w:val="left" w:pos="360"/>
        </w:tabs>
        <w:spacing w:line="360" w:lineRule="auto"/>
        <w:rPr>
          <w:b/>
          <w:sz w:val="24"/>
        </w:rPr>
      </w:pPr>
      <w:r>
        <w:rPr>
          <w:b/>
          <w:sz w:val="24"/>
        </w:rPr>
        <w:t>附件</w:t>
      </w:r>
      <w:r>
        <w:rPr>
          <w:rFonts w:hint="eastAsia"/>
          <w:b/>
          <w:sz w:val="24"/>
        </w:rPr>
        <w:t>4</w:t>
      </w:r>
    </w:p>
    <w:p w14:paraId="43012353">
      <w:pPr>
        <w:autoSpaceDN w:val="0"/>
        <w:spacing w:line="360" w:lineRule="auto"/>
        <w:jc w:val="center"/>
        <w:rPr>
          <w:b/>
          <w:bCs/>
          <w:sz w:val="24"/>
        </w:rPr>
      </w:pPr>
      <w:r>
        <w:rPr>
          <w:b/>
          <w:bCs/>
          <w:sz w:val="24"/>
        </w:rPr>
        <w:t>开标分项一览表</w:t>
      </w:r>
    </w:p>
    <w:p w14:paraId="6E512F9C">
      <w:pPr>
        <w:ind w:right="84"/>
        <w:rPr>
          <w:sz w:val="24"/>
        </w:rPr>
      </w:pPr>
    </w:p>
    <w:p w14:paraId="6CA007D5">
      <w:pPr>
        <w:spacing w:line="460" w:lineRule="exact"/>
        <w:ind w:left="192"/>
        <w:rPr>
          <w:sz w:val="24"/>
        </w:rPr>
      </w:pPr>
      <w:r>
        <w:rPr>
          <w:sz w:val="24"/>
        </w:rPr>
        <w:t>项目名称：</w:t>
      </w:r>
      <w:r>
        <w:rPr>
          <w:sz w:val="24"/>
          <w:u w:val="single"/>
        </w:rPr>
        <w:t xml:space="preserve">                    </w:t>
      </w:r>
    </w:p>
    <w:p w14:paraId="62182C24">
      <w:pPr>
        <w:spacing w:line="460" w:lineRule="exact"/>
        <w:ind w:left="192"/>
        <w:rPr>
          <w:sz w:val="24"/>
        </w:rPr>
      </w:pPr>
      <w:r>
        <w:rPr>
          <w:sz w:val="24"/>
        </w:rPr>
        <w:t>项目编号：</w:t>
      </w:r>
      <w:r>
        <w:rPr>
          <w:sz w:val="24"/>
          <w:u w:val="single"/>
        </w:rPr>
        <w:t xml:space="preserve">                    </w:t>
      </w:r>
    </w:p>
    <w:p w14:paraId="6FBB3D62">
      <w:pPr>
        <w:spacing w:line="460" w:lineRule="exact"/>
        <w:ind w:left="192"/>
        <w:rPr>
          <w:sz w:val="24"/>
        </w:rPr>
      </w:pPr>
      <w:r>
        <w:rPr>
          <w:sz w:val="24"/>
        </w:rPr>
        <w:t>包    号：</w:t>
      </w:r>
      <w:r>
        <w:rPr>
          <w:sz w:val="24"/>
          <w:u w:val="single"/>
        </w:rPr>
        <w:t xml:space="preserve">                    </w:t>
      </w:r>
    </w:p>
    <w:p w14:paraId="25836B2B">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38DA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14:paraId="3C9542C4">
            <w:pPr>
              <w:widowControl/>
              <w:jc w:val="center"/>
              <w:rPr>
                <w:b/>
                <w:bCs/>
                <w:kern w:val="0"/>
                <w:sz w:val="24"/>
                <w:szCs w:val="24"/>
              </w:rPr>
            </w:pPr>
            <w:r>
              <w:rPr>
                <w:b/>
                <w:bCs/>
                <w:kern w:val="0"/>
                <w:sz w:val="24"/>
                <w:szCs w:val="24"/>
              </w:rPr>
              <w:t>项号</w:t>
            </w:r>
          </w:p>
        </w:tc>
        <w:tc>
          <w:tcPr>
            <w:tcW w:w="2349" w:type="dxa"/>
            <w:vAlign w:val="center"/>
          </w:tcPr>
          <w:p w14:paraId="7BA89B55">
            <w:pPr>
              <w:widowControl/>
              <w:jc w:val="center"/>
              <w:rPr>
                <w:b/>
                <w:bCs/>
                <w:kern w:val="0"/>
                <w:sz w:val="24"/>
                <w:szCs w:val="24"/>
              </w:rPr>
            </w:pPr>
            <w:r>
              <w:rPr>
                <w:b/>
                <w:bCs/>
                <w:kern w:val="0"/>
                <w:sz w:val="24"/>
                <w:szCs w:val="24"/>
              </w:rPr>
              <w:t>服务名称</w:t>
            </w:r>
          </w:p>
        </w:tc>
        <w:tc>
          <w:tcPr>
            <w:tcW w:w="1701" w:type="dxa"/>
            <w:vAlign w:val="center"/>
          </w:tcPr>
          <w:p w14:paraId="73238FA9">
            <w:pPr>
              <w:widowControl/>
              <w:jc w:val="center"/>
              <w:rPr>
                <w:b/>
                <w:bCs/>
                <w:kern w:val="0"/>
                <w:sz w:val="24"/>
                <w:szCs w:val="24"/>
              </w:rPr>
            </w:pPr>
            <w:r>
              <w:rPr>
                <w:b/>
                <w:bCs/>
                <w:kern w:val="0"/>
                <w:sz w:val="24"/>
                <w:szCs w:val="24"/>
              </w:rPr>
              <w:t>总价</w:t>
            </w:r>
          </w:p>
        </w:tc>
        <w:tc>
          <w:tcPr>
            <w:tcW w:w="2238" w:type="dxa"/>
            <w:vAlign w:val="center"/>
          </w:tcPr>
          <w:p w14:paraId="79232D45">
            <w:pPr>
              <w:widowControl/>
              <w:jc w:val="center"/>
              <w:rPr>
                <w:b/>
                <w:bCs/>
                <w:kern w:val="0"/>
                <w:sz w:val="24"/>
                <w:szCs w:val="24"/>
              </w:rPr>
            </w:pPr>
            <w:r>
              <w:rPr>
                <w:b/>
                <w:bCs/>
                <w:kern w:val="0"/>
                <w:sz w:val="24"/>
                <w:szCs w:val="24"/>
              </w:rPr>
              <w:t>数量</w:t>
            </w:r>
          </w:p>
        </w:tc>
        <w:tc>
          <w:tcPr>
            <w:tcW w:w="1848" w:type="dxa"/>
            <w:vAlign w:val="center"/>
          </w:tcPr>
          <w:p w14:paraId="320DB637">
            <w:pPr>
              <w:widowControl/>
              <w:jc w:val="center"/>
              <w:rPr>
                <w:b/>
                <w:bCs/>
                <w:kern w:val="0"/>
                <w:sz w:val="24"/>
                <w:szCs w:val="24"/>
              </w:rPr>
            </w:pPr>
            <w:r>
              <w:rPr>
                <w:b/>
                <w:bCs/>
                <w:kern w:val="0"/>
                <w:sz w:val="24"/>
                <w:szCs w:val="24"/>
              </w:rPr>
              <w:t>备注</w:t>
            </w:r>
          </w:p>
        </w:tc>
      </w:tr>
      <w:tr w14:paraId="297D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14:paraId="10F4B34E">
            <w:pPr>
              <w:widowControl/>
              <w:jc w:val="center"/>
              <w:rPr>
                <w:kern w:val="0"/>
                <w:sz w:val="24"/>
                <w:szCs w:val="24"/>
              </w:rPr>
            </w:pPr>
            <w:r>
              <w:rPr>
                <w:kern w:val="0"/>
                <w:sz w:val="24"/>
                <w:szCs w:val="24"/>
              </w:rPr>
              <w:t>1</w:t>
            </w:r>
          </w:p>
        </w:tc>
        <w:tc>
          <w:tcPr>
            <w:tcW w:w="2349" w:type="dxa"/>
            <w:vAlign w:val="center"/>
          </w:tcPr>
          <w:p w14:paraId="58589D15">
            <w:pPr>
              <w:widowControl/>
              <w:jc w:val="center"/>
              <w:rPr>
                <w:kern w:val="0"/>
                <w:sz w:val="24"/>
                <w:szCs w:val="24"/>
              </w:rPr>
            </w:pPr>
          </w:p>
        </w:tc>
        <w:tc>
          <w:tcPr>
            <w:tcW w:w="1701" w:type="dxa"/>
            <w:vAlign w:val="center"/>
          </w:tcPr>
          <w:p w14:paraId="42913275">
            <w:pPr>
              <w:widowControl/>
              <w:jc w:val="center"/>
              <w:rPr>
                <w:kern w:val="0"/>
                <w:sz w:val="24"/>
                <w:szCs w:val="24"/>
              </w:rPr>
            </w:pPr>
          </w:p>
        </w:tc>
        <w:tc>
          <w:tcPr>
            <w:tcW w:w="2238" w:type="dxa"/>
            <w:vAlign w:val="center"/>
          </w:tcPr>
          <w:p w14:paraId="3B11D1A7">
            <w:pPr>
              <w:widowControl/>
              <w:jc w:val="center"/>
              <w:rPr>
                <w:sz w:val="24"/>
                <w:szCs w:val="24"/>
              </w:rPr>
            </w:pPr>
            <w:r>
              <w:rPr>
                <w:sz w:val="24"/>
                <w:szCs w:val="24"/>
              </w:rPr>
              <w:t>1项</w:t>
            </w:r>
          </w:p>
        </w:tc>
        <w:tc>
          <w:tcPr>
            <w:tcW w:w="1848" w:type="dxa"/>
            <w:vAlign w:val="center"/>
          </w:tcPr>
          <w:p w14:paraId="0A9E6A95">
            <w:pPr>
              <w:widowControl/>
              <w:jc w:val="center"/>
              <w:rPr>
                <w:sz w:val="24"/>
                <w:szCs w:val="24"/>
              </w:rPr>
            </w:pPr>
          </w:p>
        </w:tc>
      </w:tr>
      <w:tr w14:paraId="66628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14:paraId="1B76C10E">
            <w:pPr>
              <w:widowControl/>
              <w:jc w:val="left"/>
              <w:rPr>
                <w:kern w:val="0"/>
                <w:sz w:val="24"/>
                <w:szCs w:val="24"/>
              </w:rPr>
            </w:pPr>
            <w:r>
              <w:rPr>
                <w:kern w:val="0"/>
                <w:sz w:val="24"/>
                <w:szCs w:val="24"/>
              </w:rPr>
              <w:t>其中</w:t>
            </w:r>
          </w:p>
        </w:tc>
      </w:tr>
      <w:tr w14:paraId="1B23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3534A5CD">
            <w:pPr>
              <w:widowControl/>
              <w:jc w:val="left"/>
              <w:rPr>
                <w:b/>
                <w:sz w:val="24"/>
                <w:szCs w:val="24"/>
              </w:rPr>
            </w:pPr>
            <w:r>
              <w:rPr>
                <w:b/>
                <w:sz w:val="24"/>
                <w:szCs w:val="24"/>
              </w:rPr>
              <w:t>分项名称</w:t>
            </w:r>
          </w:p>
        </w:tc>
        <w:tc>
          <w:tcPr>
            <w:tcW w:w="1701" w:type="dxa"/>
            <w:vAlign w:val="center"/>
          </w:tcPr>
          <w:p w14:paraId="3524EA99">
            <w:pPr>
              <w:widowControl/>
              <w:jc w:val="center"/>
              <w:rPr>
                <w:b/>
                <w:kern w:val="0"/>
                <w:sz w:val="24"/>
                <w:szCs w:val="24"/>
              </w:rPr>
            </w:pPr>
            <w:r>
              <w:rPr>
                <w:b/>
                <w:kern w:val="0"/>
                <w:sz w:val="24"/>
                <w:szCs w:val="24"/>
              </w:rPr>
              <w:t>价格</w:t>
            </w:r>
          </w:p>
        </w:tc>
        <w:tc>
          <w:tcPr>
            <w:tcW w:w="2238" w:type="dxa"/>
            <w:vAlign w:val="center"/>
          </w:tcPr>
          <w:p w14:paraId="66F4DE20">
            <w:pPr>
              <w:widowControl/>
              <w:jc w:val="center"/>
              <w:rPr>
                <w:b/>
                <w:kern w:val="0"/>
                <w:sz w:val="24"/>
                <w:szCs w:val="24"/>
              </w:rPr>
            </w:pPr>
            <w:r>
              <w:rPr>
                <w:b/>
                <w:kern w:val="0"/>
                <w:sz w:val="24"/>
                <w:szCs w:val="24"/>
              </w:rPr>
              <w:t>数量</w:t>
            </w:r>
          </w:p>
        </w:tc>
        <w:tc>
          <w:tcPr>
            <w:tcW w:w="1848" w:type="dxa"/>
            <w:vAlign w:val="center"/>
          </w:tcPr>
          <w:p w14:paraId="5D581F32">
            <w:pPr>
              <w:widowControl/>
              <w:jc w:val="center"/>
              <w:rPr>
                <w:b/>
                <w:bCs/>
                <w:kern w:val="0"/>
                <w:sz w:val="24"/>
                <w:szCs w:val="24"/>
              </w:rPr>
            </w:pPr>
            <w:r>
              <w:rPr>
                <w:b/>
                <w:bCs/>
                <w:kern w:val="0"/>
                <w:sz w:val="24"/>
                <w:szCs w:val="24"/>
              </w:rPr>
              <w:t>备注</w:t>
            </w:r>
          </w:p>
        </w:tc>
      </w:tr>
      <w:tr w14:paraId="054C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2C7627A3">
            <w:pPr>
              <w:widowControl/>
              <w:jc w:val="left"/>
              <w:rPr>
                <w:kern w:val="0"/>
                <w:sz w:val="24"/>
                <w:szCs w:val="24"/>
              </w:rPr>
            </w:pPr>
          </w:p>
        </w:tc>
        <w:tc>
          <w:tcPr>
            <w:tcW w:w="1701" w:type="dxa"/>
            <w:vAlign w:val="center"/>
          </w:tcPr>
          <w:p w14:paraId="4A4062BC">
            <w:pPr>
              <w:widowControl/>
              <w:jc w:val="center"/>
              <w:rPr>
                <w:kern w:val="0"/>
                <w:sz w:val="24"/>
                <w:szCs w:val="24"/>
              </w:rPr>
            </w:pPr>
          </w:p>
        </w:tc>
        <w:tc>
          <w:tcPr>
            <w:tcW w:w="2238" w:type="dxa"/>
            <w:vAlign w:val="center"/>
          </w:tcPr>
          <w:p w14:paraId="4176EDF7">
            <w:pPr>
              <w:widowControl/>
              <w:jc w:val="center"/>
              <w:rPr>
                <w:kern w:val="0"/>
                <w:sz w:val="24"/>
                <w:szCs w:val="24"/>
              </w:rPr>
            </w:pPr>
          </w:p>
        </w:tc>
        <w:tc>
          <w:tcPr>
            <w:tcW w:w="1848" w:type="dxa"/>
            <w:vAlign w:val="center"/>
          </w:tcPr>
          <w:p w14:paraId="5095BF22">
            <w:pPr>
              <w:widowControl/>
              <w:jc w:val="center"/>
              <w:rPr>
                <w:sz w:val="24"/>
                <w:szCs w:val="24"/>
              </w:rPr>
            </w:pPr>
          </w:p>
        </w:tc>
      </w:tr>
      <w:tr w14:paraId="4DCA4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300B50C">
            <w:pPr>
              <w:widowControl/>
              <w:jc w:val="left"/>
              <w:rPr>
                <w:kern w:val="0"/>
                <w:sz w:val="24"/>
                <w:szCs w:val="24"/>
              </w:rPr>
            </w:pPr>
          </w:p>
        </w:tc>
        <w:tc>
          <w:tcPr>
            <w:tcW w:w="1701" w:type="dxa"/>
            <w:vAlign w:val="center"/>
          </w:tcPr>
          <w:p w14:paraId="04AD9920">
            <w:pPr>
              <w:widowControl/>
              <w:jc w:val="center"/>
              <w:rPr>
                <w:kern w:val="0"/>
                <w:sz w:val="24"/>
                <w:szCs w:val="24"/>
              </w:rPr>
            </w:pPr>
          </w:p>
        </w:tc>
        <w:tc>
          <w:tcPr>
            <w:tcW w:w="2238" w:type="dxa"/>
            <w:vAlign w:val="center"/>
          </w:tcPr>
          <w:p w14:paraId="1E62AF61">
            <w:pPr>
              <w:widowControl/>
              <w:jc w:val="center"/>
              <w:rPr>
                <w:kern w:val="0"/>
                <w:sz w:val="24"/>
                <w:szCs w:val="24"/>
              </w:rPr>
            </w:pPr>
          </w:p>
        </w:tc>
        <w:tc>
          <w:tcPr>
            <w:tcW w:w="1848" w:type="dxa"/>
            <w:vAlign w:val="center"/>
          </w:tcPr>
          <w:p w14:paraId="6CAB5E5E">
            <w:pPr>
              <w:widowControl/>
              <w:jc w:val="center"/>
              <w:rPr>
                <w:sz w:val="24"/>
                <w:szCs w:val="24"/>
              </w:rPr>
            </w:pPr>
          </w:p>
        </w:tc>
      </w:tr>
      <w:tr w14:paraId="3D2E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732A1C91">
            <w:pPr>
              <w:widowControl/>
              <w:jc w:val="left"/>
              <w:rPr>
                <w:kern w:val="0"/>
                <w:sz w:val="24"/>
                <w:szCs w:val="24"/>
              </w:rPr>
            </w:pPr>
          </w:p>
        </w:tc>
        <w:tc>
          <w:tcPr>
            <w:tcW w:w="1701" w:type="dxa"/>
            <w:vAlign w:val="center"/>
          </w:tcPr>
          <w:p w14:paraId="68C2FF1A">
            <w:pPr>
              <w:widowControl/>
              <w:jc w:val="center"/>
              <w:rPr>
                <w:kern w:val="0"/>
                <w:sz w:val="24"/>
                <w:szCs w:val="24"/>
              </w:rPr>
            </w:pPr>
          </w:p>
        </w:tc>
        <w:tc>
          <w:tcPr>
            <w:tcW w:w="2238" w:type="dxa"/>
            <w:vAlign w:val="center"/>
          </w:tcPr>
          <w:p w14:paraId="1910C49F">
            <w:pPr>
              <w:widowControl/>
              <w:jc w:val="center"/>
              <w:rPr>
                <w:kern w:val="0"/>
                <w:sz w:val="24"/>
                <w:szCs w:val="24"/>
              </w:rPr>
            </w:pPr>
          </w:p>
        </w:tc>
        <w:tc>
          <w:tcPr>
            <w:tcW w:w="1848" w:type="dxa"/>
            <w:vAlign w:val="center"/>
          </w:tcPr>
          <w:p w14:paraId="72E6AFFD">
            <w:pPr>
              <w:widowControl/>
              <w:jc w:val="center"/>
              <w:rPr>
                <w:sz w:val="24"/>
                <w:szCs w:val="24"/>
              </w:rPr>
            </w:pPr>
          </w:p>
        </w:tc>
      </w:tr>
      <w:tr w14:paraId="5972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46387284">
            <w:pPr>
              <w:widowControl/>
              <w:jc w:val="left"/>
              <w:rPr>
                <w:kern w:val="0"/>
                <w:sz w:val="24"/>
                <w:szCs w:val="24"/>
              </w:rPr>
            </w:pPr>
          </w:p>
        </w:tc>
        <w:tc>
          <w:tcPr>
            <w:tcW w:w="1701" w:type="dxa"/>
            <w:vAlign w:val="center"/>
          </w:tcPr>
          <w:p w14:paraId="073256C2">
            <w:pPr>
              <w:widowControl/>
              <w:jc w:val="center"/>
              <w:rPr>
                <w:kern w:val="0"/>
                <w:sz w:val="24"/>
                <w:szCs w:val="24"/>
              </w:rPr>
            </w:pPr>
          </w:p>
        </w:tc>
        <w:tc>
          <w:tcPr>
            <w:tcW w:w="2238" w:type="dxa"/>
            <w:vAlign w:val="center"/>
          </w:tcPr>
          <w:p w14:paraId="02A65BBF">
            <w:pPr>
              <w:widowControl/>
              <w:jc w:val="center"/>
              <w:rPr>
                <w:kern w:val="0"/>
                <w:sz w:val="24"/>
                <w:szCs w:val="24"/>
              </w:rPr>
            </w:pPr>
          </w:p>
        </w:tc>
        <w:tc>
          <w:tcPr>
            <w:tcW w:w="1848" w:type="dxa"/>
            <w:vAlign w:val="center"/>
          </w:tcPr>
          <w:p w14:paraId="22633797">
            <w:pPr>
              <w:widowControl/>
              <w:jc w:val="center"/>
              <w:rPr>
                <w:sz w:val="24"/>
                <w:szCs w:val="24"/>
              </w:rPr>
            </w:pPr>
          </w:p>
        </w:tc>
      </w:tr>
      <w:tr w14:paraId="2C3F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218E836F">
            <w:pPr>
              <w:widowControl/>
              <w:jc w:val="left"/>
              <w:rPr>
                <w:sz w:val="24"/>
              </w:rPr>
            </w:pPr>
          </w:p>
        </w:tc>
        <w:tc>
          <w:tcPr>
            <w:tcW w:w="1701" w:type="dxa"/>
            <w:vAlign w:val="center"/>
          </w:tcPr>
          <w:p w14:paraId="3C9DDA44">
            <w:pPr>
              <w:widowControl/>
              <w:jc w:val="center"/>
              <w:rPr>
                <w:kern w:val="0"/>
                <w:sz w:val="24"/>
                <w:szCs w:val="24"/>
              </w:rPr>
            </w:pPr>
          </w:p>
        </w:tc>
        <w:tc>
          <w:tcPr>
            <w:tcW w:w="2238" w:type="dxa"/>
            <w:vAlign w:val="center"/>
          </w:tcPr>
          <w:p w14:paraId="012D2731">
            <w:pPr>
              <w:widowControl/>
              <w:jc w:val="center"/>
              <w:rPr>
                <w:kern w:val="0"/>
                <w:sz w:val="24"/>
                <w:szCs w:val="24"/>
              </w:rPr>
            </w:pPr>
          </w:p>
        </w:tc>
        <w:tc>
          <w:tcPr>
            <w:tcW w:w="1848" w:type="dxa"/>
            <w:vAlign w:val="center"/>
          </w:tcPr>
          <w:p w14:paraId="1969A86F">
            <w:pPr>
              <w:widowControl/>
              <w:jc w:val="center"/>
              <w:rPr>
                <w:kern w:val="0"/>
                <w:sz w:val="24"/>
                <w:szCs w:val="24"/>
              </w:rPr>
            </w:pPr>
          </w:p>
        </w:tc>
      </w:tr>
      <w:tr w14:paraId="073C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1FCAB1A8">
            <w:pPr>
              <w:widowControl/>
              <w:jc w:val="left"/>
              <w:rPr>
                <w:sz w:val="24"/>
              </w:rPr>
            </w:pPr>
          </w:p>
        </w:tc>
        <w:tc>
          <w:tcPr>
            <w:tcW w:w="1701" w:type="dxa"/>
            <w:vAlign w:val="center"/>
          </w:tcPr>
          <w:p w14:paraId="3445C5AE">
            <w:pPr>
              <w:widowControl/>
              <w:jc w:val="center"/>
              <w:rPr>
                <w:kern w:val="0"/>
                <w:sz w:val="24"/>
                <w:szCs w:val="24"/>
              </w:rPr>
            </w:pPr>
          </w:p>
        </w:tc>
        <w:tc>
          <w:tcPr>
            <w:tcW w:w="2238" w:type="dxa"/>
            <w:vAlign w:val="center"/>
          </w:tcPr>
          <w:p w14:paraId="3F8EA0F7">
            <w:pPr>
              <w:widowControl/>
              <w:jc w:val="center"/>
              <w:rPr>
                <w:kern w:val="0"/>
                <w:sz w:val="24"/>
                <w:szCs w:val="24"/>
              </w:rPr>
            </w:pPr>
          </w:p>
        </w:tc>
        <w:tc>
          <w:tcPr>
            <w:tcW w:w="1848" w:type="dxa"/>
            <w:vAlign w:val="center"/>
          </w:tcPr>
          <w:p w14:paraId="7F1DD315">
            <w:pPr>
              <w:widowControl/>
              <w:jc w:val="center"/>
              <w:rPr>
                <w:kern w:val="0"/>
                <w:sz w:val="24"/>
                <w:szCs w:val="24"/>
              </w:rPr>
            </w:pPr>
          </w:p>
        </w:tc>
      </w:tr>
      <w:tr w14:paraId="0A85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671B8F7">
            <w:pPr>
              <w:widowControl/>
              <w:jc w:val="center"/>
              <w:rPr>
                <w:sz w:val="24"/>
              </w:rPr>
            </w:pPr>
          </w:p>
        </w:tc>
        <w:tc>
          <w:tcPr>
            <w:tcW w:w="1701" w:type="dxa"/>
            <w:vAlign w:val="center"/>
          </w:tcPr>
          <w:p w14:paraId="45EE411B">
            <w:pPr>
              <w:widowControl/>
              <w:jc w:val="center"/>
              <w:rPr>
                <w:kern w:val="0"/>
                <w:sz w:val="24"/>
                <w:szCs w:val="24"/>
              </w:rPr>
            </w:pPr>
          </w:p>
        </w:tc>
        <w:tc>
          <w:tcPr>
            <w:tcW w:w="2238" w:type="dxa"/>
            <w:vAlign w:val="center"/>
          </w:tcPr>
          <w:p w14:paraId="52692192">
            <w:pPr>
              <w:widowControl/>
              <w:jc w:val="center"/>
              <w:rPr>
                <w:kern w:val="0"/>
                <w:sz w:val="24"/>
                <w:szCs w:val="24"/>
              </w:rPr>
            </w:pPr>
          </w:p>
        </w:tc>
        <w:tc>
          <w:tcPr>
            <w:tcW w:w="1848" w:type="dxa"/>
            <w:vAlign w:val="center"/>
          </w:tcPr>
          <w:p w14:paraId="78DA163A">
            <w:pPr>
              <w:widowControl/>
              <w:jc w:val="center"/>
              <w:rPr>
                <w:kern w:val="0"/>
                <w:sz w:val="24"/>
                <w:szCs w:val="24"/>
              </w:rPr>
            </w:pPr>
          </w:p>
        </w:tc>
      </w:tr>
    </w:tbl>
    <w:p w14:paraId="5CFDE515">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14:paraId="138731B4">
      <w:pPr>
        <w:ind w:left="180" w:firstLine="408" w:firstLineChars="200"/>
      </w:pPr>
      <w:r>
        <w:rPr>
          <w:sz w:val="22"/>
          <w:szCs w:val="24"/>
        </w:rPr>
        <w:t>2. 下面应填写分项价格及分项名称（分项名称可根据实际情况增减、修改），分项价格汇总应等于总价。</w:t>
      </w:r>
    </w:p>
    <w:p w14:paraId="3FA68F63">
      <w:pPr>
        <w:spacing w:line="360" w:lineRule="auto"/>
        <w:ind w:firstLine="3808" w:firstLineChars="1700"/>
        <w:rPr>
          <w:sz w:val="24"/>
        </w:rPr>
      </w:pPr>
      <w:r>
        <w:rPr>
          <w:sz w:val="24"/>
        </w:rPr>
        <w:t>投标人名称：</w:t>
      </w:r>
    </w:p>
    <w:p w14:paraId="0CF45572">
      <w:pPr>
        <w:spacing w:line="360" w:lineRule="auto"/>
        <w:ind w:firstLine="3808" w:firstLineChars="1700"/>
        <w:rPr>
          <w:sz w:val="24"/>
        </w:rPr>
      </w:pPr>
    </w:p>
    <w:p w14:paraId="2023AC18">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A86825E">
      <w:pPr>
        <w:widowControl/>
        <w:jc w:val="left"/>
        <w:rPr>
          <w:sz w:val="24"/>
        </w:rPr>
      </w:pPr>
      <w:r>
        <w:rPr>
          <w:sz w:val="24"/>
        </w:rPr>
        <w:br w:type="page"/>
      </w:r>
    </w:p>
    <w:p w14:paraId="1EE1B05B">
      <w:pPr>
        <w:tabs>
          <w:tab w:val="left" w:pos="360"/>
        </w:tabs>
        <w:spacing w:line="360" w:lineRule="auto"/>
        <w:rPr>
          <w:b/>
          <w:sz w:val="24"/>
        </w:rPr>
      </w:pPr>
      <w:r>
        <w:rPr>
          <w:b/>
          <w:sz w:val="24"/>
        </w:rPr>
        <w:t>附件</w:t>
      </w:r>
      <w:r>
        <w:rPr>
          <w:rFonts w:hint="eastAsia"/>
          <w:b/>
          <w:sz w:val="24"/>
        </w:rPr>
        <w:t>5</w:t>
      </w:r>
    </w:p>
    <w:p w14:paraId="403B258B">
      <w:pPr>
        <w:autoSpaceDN w:val="0"/>
        <w:spacing w:line="360" w:lineRule="auto"/>
        <w:jc w:val="center"/>
        <w:rPr>
          <w:b/>
          <w:bCs/>
          <w:sz w:val="24"/>
        </w:rPr>
      </w:pPr>
      <w:r>
        <w:rPr>
          <w:b/>
          <w:bCs/>
          <w:sz w:val="24"/>
        </w:rPr>
        <w:t>商务要求点对点应答表</w:t>
      </w:r>
    </w:p>
    <w:p w14:paraId="5F2DDFF5">
      <w:pPr>
        <w:spacing w:line="460" w:lineRule="exact"/>
        <w:rPr>
          <w:sz w:val="24"/>
        </w:rPr>
      </w:pPr>
    </w:p>
    <w:p w14:paraId="63D31649">
      <w:pPr>
        <w:spacing w:line="460" w:lineRule="exact"/>
        <w:rPr>
          <w:sz w:val="24"/>
        </w:rPr>
      </w:pPr>
      <w:r>
        <w:rPr>
          <w:sz w:val="24"/>
        </w:rPr>
        <w:t>项目名称：</w:t>
      </w:r>
      <w:r>
        <w:rPr>
          <w:sz w:val="24"/>
          <w:u w:val="single"/>
        </w:rPr>
        <w:t xml:space="preserve">                    </w:t>
      </w:r>
    </w:p>
    <w:p w14:paraId="0491ECE2">
      <w:pPr>
        <w:spacing w:line="460" w:lineRule="exact"/>
        <w:rPr>
          <w:sz w:val="24"/>
        </w:rPr>
      </w:pPr>
      <w:r>
        <w:rPr>
          <w:sz w:val="24"/>
        </w:rPr>
        <w:t>项目编号：</w:t>
      </w:r>
      <w:r>
        <w:rPr>
          <w:sz w:val="24"/>
          <w:u w:val="single"/>
        </w:rPr>
        <w:t xml:space="preserve">                    </w:t>
      </w:r>
    </w:p>
    <w:p w14:paraId="0715B127">
      <w:pPr>
        <w:spacing w:line="460" w:lineRule="exact"/>
        <w:rPr>
          <w:sz w:val="24"/>
          <w:u w:val="single"/>
        </w:rPr>
      </w:pPr>
      <w:r>
        <w:rPr>
          <w:sz w:val="24"/>
        </w:rPr>
        <w:t>包号：</w:t>
      </w:r>
      <w:r>
        <w:rPr>
          <w:sz w:val="24"/>
          <w:u w:val="single"/>
        </w:rPr>
        <w:t xml:space="preserve">                        </w:t>
      </w:r>
    </w:p>
    <w:p w14:paraId="2B653E3B">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783C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14:paraId="155A4C5F">
            <w:pPr>
              <w:widowControl/>
              <w:jc w:val="center"/>
              <w:rPr>
                <w:color w:val="000000"/>
                <w:kern w:val="0"/>
                <w:szCs w:val="21"/>
              </w:rPr>
            </w:pPr>
            <w:r>
              <w:rPr>
                <w:color w:val="000000"/>
                <w:kern w:val="0"/>
                <w:szCs w:val="21"/>
              </w:rPr>
              <w:t>序号</w:t>
            </w:r>
          </w:p>
        </w:tc>
        <w:tc>
          <w:tcPr>
            <w:tcW w:w="1274" w:type="pct"/>
            <w:shd w:val="clear" w:color="auto" w:fill="auto"/>
            <w:vAlign w:val="center"/>
          </w:tcPr>
          <w:p w14:paraId="1951F69D">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5FC4AA60">
            <w:pPr>
              <w:widowControl/>
              <w:jc w:val="center"/>
              <w:rPr>
                <w:color w:val="000000"/>
                <w:kern w:val="0"/>
                <w:szCs w:val="21"/>
              </w:rPr>
            </w:pPr>
            <w:r>
              <w:rPr>
                <w:color w:val="000000"/>
                <w:kern w:val="0"/>
                <w:szCs w:val="21"/>
              </w:rPr>
              <w:t>投标应答</w:t>
            </w:r>
          </w:p>
        </w:tc>
        <w:tc>
          <w:tcPr>
            <w:tcW w:w="648" w:type="pct"/>
            <w:shd w:val="clear" w:color="auto" w:fill="auto"/>
            <w:vAlign w:val="center"/>
          </w:tcPr>
          <w:p w14:paraId="7670B7D2">
            <w:pPr>
              <w:widowControl/>
              <w:jc w:val="center"/>
              <w:rPr>
                <w:color w:val="000000"/>
                <w:kern w:val="0"/>
                <w:szCs w:val="21"/>
              </w:rPr>
            </w:pPr>
            <w:r>
              <w:rPr>
                <w:color w:val="000000"/>
                <w:kern w:val="0"/>
                <w:szCs w:val="21"/>
              </w:rPr>
              <w:t>偏离说明</w:t>
            </w:r>
          </w:p>
        </w:tc>
        <w:tc>
          <w:tcPr>
            <w:tcW w:w="647" w:type="pct"/>
            <w:shd w:val="clear" w:color="auto" w:fill="auto"/>
            <w:vAlign w:val="center"/>
          </w:tcPr>
          <w:p w14:paraId="0FE0D096">
            <w:pPr>
              <w:widowControl/>
              <w:jc w:val="center"/>
              <w:rPr>
                <w:color w:val="000000"/>
                <w:kern w:val="0"/>
                <w:szCs w:val="21"/>
              </w:rPr>
            </w:pPr>
            <w:r>
              <w:rPr>
                <w:color w:val="000000"/>
                <w:kern w:val="0"/>
                <w:szCs w:val="21"/>
              </w:rPr>
              <w:t>备注</w:t>
            </w:r>
          </w:p>
        </w:tc>
      </w:tr>
      <w:tr w14:paraId="258E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2CB506E6">
            <w:pPr>
              <w:widowControl/>
              <w:jc w:val="left"/>
              <w:rPr>
                <w:color w:val="000000"/>
                <w:kern w:val="0"/>
                <w:szCs w:val="21"/>
              </w:rPr>
            </w:pPr>
            <w:r>
              <w:rPr>
                <w:color w:val="000000"/>
                <w:kern w:val="0"/>
                <w:szCs w:val="21"/>
              </w:rPr>
              <w:t>（一）报价要求</w:t>
            </w:r>
          </w:p>
        </w:tc>
      </w:tr>
      <w:tr w14:paraId="4D6E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14:paraId="7D229A9B">
            <w:pPr>
              <w:widowControl/>
              <w:jc w:val="left"/>
              <w:rPr>
                <w:color w:val="000000"/>
                <w:kern w:val="0"/>
                <w:szCs w:val="21"/>
              </w:rPr>
            </w:pPr>
            <w:r>
              <w:rPr>
                <w:color w:val="000000"/>
                <w:kern w:val="0"/>
                <w:szCs w:val="21"/>
              </w:rPr>
              <w:t>　</w:t>
            </w:r>
          </w:p>
        </w:tc>
        <w:tc>
          <w:tcPr>
            <w:tcW w:w="1274" w:type="pct"/>
            <w:shd w:val="clear" w:color="auto" w:fill="auto"/>
            <w:vAlign w:val="center"/>
          </w:tcPr>
          <w:p w14:paraId="3303A130">
            <w:pPr>
              <w:widowControl/>
              <w:jc w:val="left"/>
              <w:rPr>
                <w:color w:val="000000"/>
                <w:kern w:val="0"/>
                <w:szCs w:val="21"/>
              </w:rPr>
            </w:pPr>
            <w:r>
              <w:rPr>
                <w:color w:val="000000"/>
                <w:kern w:val="0"/>
                <w:szCs w:val="21"/>
              </w:rPr>
              <w:t>　</w:t>
            </w:r>
          </w:p>
        </w:tc>
        <w:tc>
          <w:tcPr>
            <w:tcW w:w="1457" w:type="pct"/>
            <w:shd w:val="clear" w:color="auto" w:fill="auto"/>
            <w:vAlign w:val="center"/>
          </w:tcPr>
          <w:p w14:paraId="42420161">
            <w:pPr>
              <w:widowControl/>
              <w:jc w:val="left"/>
              <w:rPr>
                <w:color w:val="000000"/>
                <w:kern w:val="0"/>
                <w:szCs w:val="21"/>
              </w:rPr>
            </w:pPr>
            <w:r>
              <w:rPr>
                <w:color w:val="000000"/>
                <w:kern w:val="0"/>
                <w:szCs w:val="21"/>
              </w:rPr>
              <w:t>　</w:t>
            </w:r>
          </w:p>
        </w:tc>
        <w:tc>
          <w:tcPr>
            <w:tcW w:w="648" w:type="pct"/>
            <w:shd w:val="clear" w:color="auto" w:fill="auto"/>
            <w:vAlign w:val="center"/>
          </w:tcPr>
          <w:p w14:paraId="08F38AE7">
            <w:pPr>
              <w:widowControl/>
              <w:jc w:val="left"/>
              <w:rPr>
                <w:color w:val="000000"/>
                <w:kern w:val="0"/>
                <w:szCs w:val="21"/>
              </w:rPr>
            </w:pPr>
            <w:r>
              <w:rPr>
                <w:color w:val="000000"/>
                <w:kern w:val="0"/>
                <w:szCs w:val="21"/>
              </w:rPr>
              <w:t>　</w:t>
            </w:r>
          </w:p>
        </w:tc>
        <w:tc>
          <w:tcPr>
            <w:tcW w:w="647" w:type="pct"/>
            <w:shd w:val="clear" w:color="auto" w:fill="auto"/>
            <w:vAlign w:val="center"/>
          </w:tcPr>
          <w:p w14:paraId="04C7D339">
            <w:pPr>
              <w:widowControl/>
              <w:jc w:val="left"/>
              <w:rPr>
                <w:color w:val="000000"/>
                <w:kern w:val="0"/>
                <w:szCs w:val="21"/>
              </w:rPr>
            </w:pPr>
            <w:r>
              <w:rPr>
                <w:color w:val="000000"/>
                <w:kern w:val="0"/>
                <w:szCs w:val="21"/>
              </w:rPr>
              <w:t>　</w:t>
            </w:r>
          </w:p>
        </w:tc>
      </w:tr>
      <w:tr w14:paraId="5849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vAlign w:val="center"/>
          </w:tcPr>
          <w:p w14:paraId="0F6224D0">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36CC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18CACB98">
            <w:pPr>
              <w:widowControl/>
              <w:jc w:val="left"/>
              <w:rPr>
                <w:color w:val="000000"/>
                <w:kern w:val="0"/>
                <w:szCs w:val="21"/>
              </w:rPr>
            </w:pPr>
            <w:r>
              <w:rPr>
                <w:color w:val="000000"/>
                <w:kern w:val="0"/>
                <w:szCs w:val="21"/>
              </w:rPr>
              <w:t>　</w:t>
            </w:r>
          </w:p>
        </w:tc>
        <w:tc>
          <w:tcPr>
            <w:tcW w:w="1274" w:type="pct"/>
            <w:shd w:val="clear" w:color="auto" w:fill="auto"/>
            <w:vAlign w:val="center"/>
          </w:tcPr>
          <w:p w14:paraId="031359DA">
            <w:pPr>
              <w:widowControl/>
              <w:jc w:val="left"/>
              <w:rPr>
                <w:color w:val="000000"/>
                <w:kern w:val="0"/>
                <w:szCs w:val="21"/>
              </w:rPr>
            </w:pPr>
            <w:r>
              <w:rPr>
                <w:color w:val="000000"/>
                <w:kern w:val="0"/>
                <w:szCs w:val="21"/>
              </w:rPr>
              <w:t>　</w:t>
            </w:r>
          </w:p>
        </w:tc>
        <w:tc>
          <w:tcPr>
            <w:tcW w:w="1457" w:type="pct"/>
            <w:shd w:val="clear" w:color="auto" w:fill="auto"/>
            <w:vAlign w:val="center"/>
          </w:tcPr>
          <w:p w14:paraId="09B53EE5">
            <w:pPr>
              <w:widowControl/>
              <w:jc w:val="left"/>
              <w:rPr>
                <w:color w:val="000000"/>
                <w:kern w:val="0"/>
                <w:szCs w:val="21"/>
              </w:rPr>
            </w:pPr>
            <w:r>
              <w:rPr>
                <w:color w:val="000000"/>
                <w:kern w:val="0"/>
                <w:szCs w:val="21"/>
              </w:rPr>
              <w:t>　</w:t>
            </w:r>
          </w:p>
        </w:tc>
        <w:tc>
          <w:tcPr>
            <w:tcW w:w="648" w:type="pct"/>
            <w:shd w:val="clear" w:color="auto" w:fill="auto"/>
            <w:vAlign w:val="center"/>
          </w:tcPr>
          <w:p w14:paraId="638CAB48">
            <w:pPr>
              <w:widowControl/>
              <w:jc w:val="left"/>
              <w:rPr>
                <w:color w:val="000000"/>
                <w:kern w:val="0"/>
                <w:szCs w:val="21"/>
              </w:rPr>
            </w:pPr>
            <w:r>
              <w:rPr>
                <w:color w:val="000000"/>
                <w:kern w:val="0"/>
                <w:szCs w:val="21"/>
              </w:rPr>
              <w:t>　</w:t>
            </w:r>
          </w:p>
        </w:tc>
        <w:tc>
          <w:tcPr>
            <w:tcW w:w="647" w:type="pct"/>
            <w:shd w:val="clear" w:color="auto" w:fill="auto"/>
            <w:vAlign w:val="center"/>
          </w:tcPr>
          <w:p w14:paraId="72E228B7">
            <w:pPr>
              <w:widowControl/>
              <w:jc w:val="left"/>
              <w:rPr>
                <w:color w:val="000000"/>
                <w:kern w:val="0"/>
                <w:szCs w:val="21"/>
              </w:rPr>
            </w:pPr>
            <w:r>
              <w:rPr>
                <w:color w:val="000000"/>
                <w:kern w:val="0"/>
                <w:szCs w:val="21"/>
              </w:rPr>
              <w:t>　</w:t>
            </w:r>
          </w:p>
        </w:tc>
      </w:tr>
      <w:tr w14:paraId="488A1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75AADA51">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3B69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303F8F83">
            <w:pPr>
              <w:widowControl/>
              <w:jc w:val="left"/>
              <w:rPr>
                <w:color w:val="000000"/>
                <w:kern w:val="0"/>
                <w:szCs w:val="21"/>
              </w:rPr>
            </w:pPr>
            <w:r>
              <w:rPr>
                <w:color w:val="000000"/>
                <w:kern w:val="0"/>
                <w:szCs w:val="21"/>
              </w:rPr>
              <w:t>　</w:t>
            </w:r>
          </w:p>
        </w:tc>
        <w:tc>
          <w:tcPr>
            <w:tcW w:w="1274" w:type="pct"/>
            <w:shd w:val="clear" w:color="auto" w:fill="auto"/>
            <w:vAlign w:val="center"/>
          </w:tcPr>
          <w:p w14:paraId="008BFB7B">
            <w:pPr>
              <w:widowControl/>
              <w:jc w:val="left"/>
              <w:rPr>
                <w:color w:val="000000"/>
                <w:kern w:val="0"/>
                <w:szCs w:val="21"/>
              </w:rPr>
            </w:pPr>
            <w:r>
              <w:rPr>
                <w:color w:val="000000"/>
                <w:kern w:val="0"/>
                <w:szCs w:val="21"/>
              </w:rPr>
              <w:t>　</w:t>
            </w:r>
          </w:p>
        </w:tc>
        <w:tc>
          <w:tcPr>
            <w:tcW w:w="1457" w:type="pct"/>
            <w:shd w:val="clear" w:color="auto" w:fill="auto"/>
            <w:vAlign w:val="center"/>
          </w:tcPr>
          <w:p w14:paraId="44C88560">
            <w:pPr>
              <w:widowControl/>
              <w:jc w:val="left"/>
              <w:rPr>
                <w:color w:val="000000"/>
                <w:kern w:val="0"/>
                <w:szCs w:val="21"/>
              </w:rPr>
            </w:pPr>
            <w:r>
              <w:rPr>
                <w:color w:val="000000"/>
                <w:kern w:val="0"/>
                <w:szCs w:val="21"/>
              </w:rPr>
              <w:t>　</w:t>
            </w:r>
          </w:p>
        </w:tc>
        <w:tc>
          <w:tcPr>
            <w:tcW w:w="648" w:type="pct"/>
            <w:shd w:val="clear" w:color="auto" w:fill="auto"/>
            <w:vAlign w:val="center"/>
          </w:tcPr>
          <w:p w14:paraId="1EA3C425">
            <w:pPr>
              <w:widowControl/>
              <w:jc w:val="left"/>
              <w:rPr>
                <w:color w:val="000000"/>
                <w:kern w:val="0"/>
                <w:szCs w:val="21"/>
              </w:rPr>
            </w:pPr>
            <w:r>
              <w:rPr>
                <w:color w:val="000000"/>
                <w:kern w:val="0"/>
                <w:szCs w:val="21"/>
              </w:rPr>
              <w:t>　</w:t>
            </w:r>
          </w:p>
        </w:tc>
        <w:tc>
          <w:tcPr>
            <w:tcW w:w="647" w:type="pct"/>
            <w:shd w:val="clear" w:color="auto" w:fill="auto"/>
            <w:vAlign w:val="center"/>
          </w:tcPr>
          <w:p w14:paraId="46749070">
            <w:pPr>
              <w:widowControl/>
              <w:jc w:val="left"/>
              <w:rPr>
                <w:color w:val="000000"/>
                <w:kern w:val="0"/>
                <w:szCs w:val="21"/>
              </w:rPr>
            </w:pPr>
            <w:r>
              <w:rPr>
                <w:color w:val="000000"/>
                <w:kern w:val="0"/>
                <w:szCs w:val="21"/>
              </w:rPr>
              <w:t>　</w:t>
            </w:r>
          </w:p>
        </w:tc>
      </w:tr>
      <w:tr w14:paraId="3B62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vAlign w:val="center"/>
          </w:tcPr>
          <w:p w14:paraId="72147A9B">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761E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2F8B1485">
            <w:pPr>
              <w:widowControl/>
              <w:jc w:val="left"/>
              <w:rPr>
                <w:color w:val="000000"/>
                <w:kern w:val="0"/>
                <w:szCs w:val="21"/>
              </w:rPr>
            </w:pPr>
            <w:r>
              <w:rPr>
                <w:color w:val="000000"/>
                <w:kern w:val="0"/>
                <w:szCs w:val="21"/>
              </w:rPr>
              <w:t>　</w:t>
            </w:r>
          </w:p>
        </w:tc>
        <w:tc>
          <w:tcPr>
            <w:tcW w:w="1274" w:type="pct"/>
            <w:shd w:val="clear" w:color="auto" w:fill="auto"/>
            <w:vAlign w:val="center"/>
          </w:tcPr>
          <w:p w14:paraId="48B80363">
            <w:pPr>
              <w:widowControl/>
              <w:jc w:val="left"/>
              <w:rPr>
                <w:color w:val="000000"/>
                <w:kern w:val="0"/>
                <w:szCs w:val="21"/>
              </w:rPr>
            </w:pPr>
            <w:r>
              <w:rPr>
                <w:color w:val="000000"/>
                <w:kern w:val="0"/>
                <w:szCs w:val="21"/>
              </w:rPr>
              <w:t>　</w:t>
            </w:r>
          </w:p>
        </w:tc>
        <w:tc>
          <w:tcPr>
            <w:tcW w:w="1457" w:type="pct"/>
            <w:shd w:val="clear" w:color="auto" w:fill="auto"/>
            <w:vAlign w:val="center"/>
          </w:tcPr>
          <w:p w14:paraId="71F65DF6">
            <w:pPr>
              <w:widowControl/>
              <w:jc w:val="left"/>
              <w:rPr>
                <w:color w:val="000000"/>
                <w:kern w:val="0"/>
                <w:szCs w:val="21"/>
              </w:rPr>
            </w:pPr>
            <w:r>
              <w:rPr>
                <w:color w:val="000000"/>
                <w:kern w:val="0"/>
                <w:szCs w:val="21"/>
              </w:rPr>
              <w:t>　</w:t>
            </w:r>
          </w:p>
        </w:tc>
        <w:tc>
          <w:tcPr>
            <w:tcW w:w="648" w:type="pct"/>
            <w:shd w:val="clear" w:color="auto" w:fill="auto"/>
            <w:vAlign w:val="center"/>
          </w:tcPr>
          <w:p w14:paraId="4962E8F2">
            <w:pPr>
              <w:widowControl/>
              <w:jc w:val="left"/>
              <w:rPr>
                <w:color w:val="000000"/>
                <w:kern w:val="0"/>
                <w:szCs w:val="21"/>
              </w:rPr>
            </w:pPr>
            <w:r>
              <w:rPr>
                <w:color w:val="000000"/>
                <w:kern w:val="0"/>
                <w:szCs w:val="21"/>
              </w:rPr>
              <w:t>　</w:t>
            </w:r>
          </w:p>
        </w:tc>
        <w:tc>
          <w:tcPr>
            <w:tcW w:w="647" w:type="pct"/>
            <w:shd w:val="clear" w:color="auto" w:fill="auto"/>
            <w:vAlign w:val="center"/>
          </w:tcPr>
          <w:p w14:paraId="44AEEF14">
            <w:pPr>
              <w:widowControl/>
              <w:jc w:val="left"/>
              <w:rPr>
                <w:color w:val="000000"/>
                <w:kern w:val="0"/>
                <w:szCs w:val="21"/>
              </w:rPr>
            </w:pPr>
            <w:r>
              <w:rPr>
                <w:color w:val="000000"/>
                <w:kern w:val="0"/>
                <w:szCs w:val="21"/>
              </w:rPr>
              <w:t>　</w:t>
            </w:r>
          </w:p>
        </w:tc>
      </w:tr>
      <w:tr w14:paraId="6B17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5565123B">
            <w:pPr>
              <w:widowControl/>
              <w:jc w:val="left"/>
              <w:rPr>
                <w:color w:val="000000"/>
                <w:kern w:val="0"/>
                <w:szCs w:val="21"/>
              </w:rPr>
            </w:pPr>
            <w:r>
              <w:rPr>
                <w:rFonts w:hint="eastAsia"/>
                <w:color w:val="000000"/>
                <w:kern w:val="0"/>
                <w:szCs w:val="21"/>
              </w:rPr>
              <w:t>（五）验收方法及标准</w:t>
            </w:r>
          </w:p>
        </w:tc>
      </w:tr>
      <w:tr w14:paraId="338E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3CADD056">
            <w:pPr>
              <w:widowControl/>
              <w:jc w:val="left"/>
              <w:rPr>
                <w:color w:val="000000"/>
                <w:kern w:val="0"/>
                <w:szCs w:val="21"/>
              </w:rPr>
            </w:pPr>
          </w:p>
        </w:tc>
        <w:tc>
          <w:tcPr>
            <w:tcW w:w="1274" w:type="pct"/>
            <w:shd w:val="clear" w:color="auto" w:fill="auto"/>
            <w:vAlign w:val="center"/>
          </w:tcPr>
          <w:p w14:paraId="07C4D1F9">
            <w:pPr>
              <w:widowControl/>
              <w:jc w:val="left"/>
              <w:rPr>
                <w:color w:val="000000"/>
                <w:kern w:val="0"/>
                <w:szCs w:val="21"/>
              </w:rPr>
            </w:pPr>
          </w:p>
        </w:tc>
        <w:tc>
          <w:tcPr>
            <w:tcW w:w="1457" w:type="pct"/>
            <w:shd w:val="clear" w:color="auto" w:fill="auto"/>
            <w:vAlign w:val="center"/>
          </w:tcPr>
          <w:p w14:paraId="08C700C0">
            <w:pPr>
              <w:widowControl/>
              <w:jc w:val="left"/>
              <w:rPr>
                <w:color w:val="000000"/>
                <w:kern w:val="0"/>
                <w:szCs w:val="21"/>
              </w:rPr>
            </w:pPr>
          </w:p>
        </w:tc>
        <w:tc>
          <w:tcPr>
            <w:tcW w:w="648" w:type="pct"/>
            <w:shd w:val="clear" w:color="auto" w:fill="auto"/>
            <w:vAlign w:val="center"/>
          </w:tcPr>
          <w:p w14:paraId="603B91C1">
            <w:pPr>
              <w:widowControl/>
              <w:jc w:val="left"/>
              <w:rPr>
                <w:color w:val="000000"/>
                <w:kern w:val="0"/>
                <w:szCs w:val="21"/>
              </w:rPr>
            </w:pPr>
          </w:p>
        </w:tc>
        <w:tc>
          <w:tcPr>
            <w:tcW w:w="647" w:type="pct"/>
            <w:shd w:val="clear" w:color="auto" w:fill="auto"/>
            <w:vAlign w:val="center"/>
          </w:tcPr>
          <w:p w14:paraId="5C58C5E3">
            <w:pPr>
              <w:widowControl/>
              <w:jc w:val="left"/>
              <w:rPr>
                <w:color w:val="000000"/>
                <w:kern w:val="0"/>
                <w:szCs w:val="21"/>
              </w:rPr>
            </w:pPr>
          </w:p>
        </w:tc>
      </w:tr>
    </w:tbl>
    <w:p w14:paraId="2CCE5D4A">
      <w:pPr>
        <w:spacing w:line="360" w:lineRule="auto"/>
        <w:ind w:firstLine="448" w:firstLineChars="200"/>
        <w:rPr>
          <w:sz w:val="24"/>
        </w:rPr>
      </w:pPr>
      <w:r>
        <w:rPr>
          <w:sz w:val="24"/>
        </w:rPr>
        <w:t>注：</w:t>
      </w:r>
    </w:p>
    <w:p w14:paraId="717B1255">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21659768">
      <w:pPr>
        <w:spacing w:line="360" w:lineRule="auto"/>
        <w:ind w:firstLine="448" w:firstLineChars="200"/>
        <w:rPr>
          <w:sz w:val="24"/>
        </w:rPr>
      </w:pPr>
      <w:r>
        <w:rPr>
          <w:rFonts w:hint="eastAsia"/>
          <w:sz w:val="24"/>
        </w:rPr>
        <w:t>2</w:t>
      </w:r>
      <w:r>
        <w:rPr>
          <w:sz w:val="24"/>
        </w:rPr>
        <w:t>. 不如实填写偏离情况的投标文件将视为虚假材料。</w:t>
      </w:r>
    </w:p>
    <w:p w14:paraId="4075F249">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6E869521">
      <w:pPr>
        <w:spacing w:line="360" w:lineRule="auto"/>
        <w:rPr>
          <w:sz w:val="24"/>
        </w:rPr>
      </w:pPr>
    </w:p>
    <w:p w14:paraId="459206F1">
      <w:pPr>
        <w:spacing w:line="360" w:lineRule="auto"/>
        <w:ind w:firstLine="3808" w:firstLineChars="1700"/>
        <w:rPr>
          <w:sz w:val="24"/>
        </w:rPr>
      </w:pPr>
      <w:r>
        <w:rPr>
          <w:sz w:val="24"/>
        </w:rPr>
        <w:t>投标人名称：</w:t>
      </w:r>
    </w:p>
    <w:p w14:paraId="1AA743A8">
      <w:pPr>
        <w:spacing w:line="360" w:lineRule="auto"/>
        <w:ind w:firstLine="3808" w:firstLineChars="1700"/>
        <w:rPr>
          <w:sz w:val="24"/>
        </w:rPr>
      </w:pPr>
    </w:p>
    <w:p w14:paraId="1F57BCCF">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E865EB5">
      <w:pPr>
        <w:tabs>
          <w:tab w:val="left" w:pos="360"/>
        </w:tabs>
        <w:spacing w:line="360" w:lineRule="auto"/>
        <w:rPr>
          <w:b/>
          <w:sz w:val="24"/>
        </w:rPr>
      </w:pPr>
      <w:r>
        <w:rPr>
          <w:sz w:val="24"/>
        </w:rPr>
        <w:br w:type="page"/>
      </w:r>
      <w:r>
        <w:rPr>
          <w:b/>
          <w:sz w:val="24"/>
        </w:rPr>
        <w:t>附件</w:t>
      </w:r>
      <w:r>
        <w:rPr>
          <w:rFonts w:hint="eastAsia"/>
          <w:b/>
          <w:sz w:val="24"/>
        </w:rPr>
        <w:t>6</w:t>
      </w:r>
    </w:p>
    <w:p w14:paraId="54DD9E85">
      <w:pPr>
        <w:spacing w:line="360" w:lineRule="auto"/>
        <w:jc w:val="center"/>
        <w:rPr>
          <w:b/>
          <w:bCs/>
          <w:sz w:val="24"/>
          <w:szCs w:val="24"/>
        </w:rPr>
      </w:pPr>
      <w:r>
        <w:rPr>
          <w:rFonts w:ascii="宋体" w:hAnsi="宋体"/>
          <w:b/>
          <w:bCs/>
          <w:sz w:val="24"/>
          <w:szCs w:val="24"/>
        </w:rPr>
        <w:t>技术要求偏离应答表</w:t>
      </w:r>
    </w:p>
    <w:p w14:paraId="2DCB11E3">
      <w:pPr>
        <w:spacing w:line="460" w:lineRule="exact"/>
        <w:rPr>
          <w:sz w:val="24"/>
        </w:rPr>
      </w:pPr>
      <w:r>
        <w:rPr>
          <w:sz w:val="24"/>
        </w:rPr>
        <w:t>项目名称：</w:t>
      </w:r>
      <w:r>
        <w:rPr>
          <w:sz w:val="24"/>
          <w:u w:val="single"/>
        </w:rPr>
        <w:t xml:space="preserve">                    </w:t>
      </w:r>
    </w:p>
    <w:p w14:paraId="1804FAB1">
      <w:pPr>
        <w:spacing w:line="460" w:lineRule="exact"/>
        <w:rPr>
          <w:sz w:val="24"/>
        </w:rPr>
      </w:pPr>
      <w:r>
        <w:rPr>
          <w:sz w:val="24"/>
        </w:rPr>
        <w:t>项目编号：</w:t>
      </w:r>
      <w:r>
        <w:rPr>
          <w:sz w:val="24"/>
          <w:u w:val="single"/>
        </w:rPr>
        <w:t xml:space="preserve">                    </w:t>
      </w:r>
    </w:p>
    <w:p w14:paraId="0B4AE93C">
      <w:pPr>
        <w:spacing w:line="460" w:lineRule="exact"/>
        <w:rPr>
          <w:sz w:val="24"/>
          <w:u w:val="single"/>
        </w:rPr>
      </w:pPr>
      <w:r>
        <w:rPr>
          <w:sz w:val="24"/>
        </w:rPr>
        <w:t>包号：</w:t>
      </w:r>
      <w:r>
        <w:rPr>
          <w:sz w:val="24"/>
          <w:u w:val="single"/>
        </w:rPr>
        <w:t xml:space="preserve">                        </w:t>
      </w:r>
    </w:p>
    <w:p w14:paraId="1AED7E9A">
      <w:pPr>
        <w:spacing w:line="460" w:lineRule="exact"/>
        <w:rPr>
          <w:sz w:val="24"/>
          <w:szCs w:val="24"/>
          <w:u w:val="single"/>
        </w:rPr>
      </w:pPr>
    </w:p>
    <w:p w14:paraId="3020F88C">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规使用。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C71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3272C9B">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0B6D8236">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522C052A">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5A25B01D">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5E118AE9">
            <w:pPr>
              <w:widowControl/>
              <w:snapToGrid w:val="0"/>
              <w:jc w:val="center"/>
              <w:rPr>
                <w:kern w:val="0"/>
                <w:sz w:val="24"/>
                <w:szCs w:val="24"/>
              </w:rPr>
            </w:pPr>
            <w:r>
              <w:rPr>
                <w:rFonts w:ascii="宋体" w:hAnsi="宋体"/>
                <w:kern w:val="0"/>
                <w:sz w:val="24"/>
                <w:szCs w:val="24"/>
              </w:rPr>
              <w:t>备注</w:t>
            </w:r>
          </w:p>
        </w:tc>
      </w:tr>
      <w:tr w14:paraId="629F9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715755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C075700">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30B25548">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0AE1AD3B">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5A9EAB61">
            <w:pPr>
              <w:widowControl/>
              <w:snapToGrid w:val="0"/>
              <w:jc w:val="center"/>
              <w:rPr>
                <w:kern w:val="0"/>
                <w:sz w:val="24"/>
                <w:szCs w:val="24"/>
              </w:rPr>
            </w:pPr>
          </w:p>
        </w:tc>
      </w:tr>
      <w:tr w14:paraId="3708F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94FB764">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C8CA79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638F22C">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E0289BD">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F77EEE2">
            <w:pPr>
              <w:widowControl/>
              <w:snapToGrid w:val="0"/>
              <w:jc w:val="center"/>
              <w:rPr>
                <w:kern w:val="0"/>
                <w:sz w:val="24"/>
                <w:szCs w:val="24"/>
              </w:rPr>
            </w:pPr>
          </w:p>
        </w:tc>
      </w:tr>
      <w:tr w14:paraId="0692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D4CEAC9">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4E442B1">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3D7378F">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5065E8B">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E478EBA">
            <w:pPr>
              <w:widowControl/>
              <w:snapToGrid w:val="0"/>
              <w:jc w:val="center"/>
              <w:rPr>
                <w:kern w:val="0"/>
                <w:sz w:val="24"/>
                <w:szCs w:val="24"/>
              </w:rPr>
            </w:pPr>
          </w:p>
        </w:tc>
      </w:tr>
      <w:tr w14:paraId="6CFA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F085CA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EEC2EE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9A8E7D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91FF4AE">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7DD862E">
            <w:pPr>
              <w:widowControl/>
              <w:snapToGrid w:val="0"/>
              <w:jc w:val="center"/>
              <w:rPr>
                <w:kern w:val="0"/>
                <w:sz w:val="24"/>
                <w:szCs w:val="24"/>
              </w:rPr>
            </w:pPr>
          </w:p>
        </w:tc>
      </w:tr>
      <w:tr w14:paraId="397A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128744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704FEC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815DD5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14309D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AA39D45">
            <w:pPr>
              <w:widowControl/>
              <w:snapToGrid w:val="0"/>
              <w:jc w:val="center"/>
              <w:rPr>
                <w:kern w:val="0"/>
                <w:sz w:val="24"/>
                <w:szCs w:val="24"/>
              </w:rPr>
            </w:pPr>
          </w:p>
        </w:tc>
      </w:tr>
    </w:tbl>
    <w:p w14:paraId="2235E76C">
      <w:pPr>
        <w:spacing w:line="360" w:lineRule="auto"/>
        <w:ind w:firstLine="448" w:firstLineChars="200"/>
        <w:rPr>
          <w:sz w:val="24"/>
          <w:szCs w:val="24"/>
        </w:rPr>
      </w:pPr>
      <w:r>
        <w:rPr>
          <w:rFonts w:ascii="宋体" w:hAnsi="宋体"/>
          <w:sz w:val="24"/>
          <w:szCs w:val="24"/>
        </w:rPr>
        <w:t>注：</w:t>
      </w:r>
    </w:p>
    <w:p w14:paraId="668BD119">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1DFC932C">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27214DCB">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361CA84B">
      <w:pPr>
        <w:spacing w:line="360" w:lineRule="auto"/>
        <w:rPr>
          <w:sz w:val="24"/>
        </w:rPr>
      </w:pPr>
    </w:p>
    <w:p w14:paraId="6B2A1078">
      <w:pPr>
        <w:spacing w:line="360" w:lineRule="auto"/>
        <w:ind w:firstLine="3808" w:firstLineChars="1700"/>
        <w:rPr>
          <w:sz w:val="24"/>
        </w:rPr>
      </w:pPr>
      <w:r>
        <w:rPr>
          <w:sz w:val="24"/>
        </w:rPr>
        <w:t>投标人名称：</w:t>
      </w:r>
    </w:p>
    <w:p w14:paraId="30856D0C">
      <w:pPr>
        <w:spacing w:line="360" w:lineRule="auto"/>
        <w:ind w:firstLine="3808" w:firstLineChars="1700"/>
        <w:rPr>
          <w:sz w:val="24"/>
        </w:rPr>
      </w:pPr>
    </w:p>
    <w:p w14:paraId="0D6A203A">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A6F8D14">
      <w:pPr>
        <w:tabs>
          <w:tab w:val="left" w:pos="360"/>
        </w:tabs>
        <w:spacing w:line="360" w:lineRule="auto"/>
        <w:rPr>
          <w:b/>
          <w:sz w:val="24"/>
        </w:rPr>
      </w:pPr>
      <w:r>
        <w:rPr>
          <w:sz w:val="24"/>
        </w:rPr>
        <w:br w:type="page"/>
      </w:r>
      <w:r>
        <w:rPr>
          <w:b/>
          <w:sz w:val="24"/>
        </w:rPr>
        <w:t>附件</w:t>
      </w:r>
      <w:r>
        <w:rPr>
          <w:rFonts w:hint="eastAsia"/>
          <w:b/>
          <w:sz w:val="24"/>
        </w:rPr>
        <w:t>7</w:t>
      </w:r>
    </w:p>
    <w:p w14:paraId="223E0A3C">
      <w:pPr>
        <w:autoSpaceDN w:val="0"/>
        <w:spacing w:line="360" w:lineRule="auto"/>
        <w:jc w:val="center"/>
        <w:rPr>
          <w:b/>
          <w:bCs/>
          <w:sz w:val="24"/>
        </w:rPr>
      </w:pPr>
      <w:r>
        <w:rPr>
          <w:b/>
          <w:sz w:val="24"/>
        </w:rPr>
        <w:t>主要相关项目业绩一览表</w:t>
      </w:r>
    </w:p>
    <w:p w14:paraId="778FE1B8">
      <w:pPr>
        <w:spacing w:line="460" w:lineRule="exact"/>
        <w:ind w:left="192"/>
        <w:rPr>
          <w:sz w:val="24"/>
        </w:rPr>
      </w:pPr>
    </w:p>
    <w:p w14:paraId="428D94B1">
      <w:pPr>
        <w:spacing w:line="460" w:lineRule="exact"/>
        <w:rPr>
          <w:sz w:val="24"/>
        </w:rPr>
      </w:pPr>
      <w:r>
        <w:rPr>
          <w:sz w:val="24"/>
        </w:rPr>
        <w:t>项目名称：</w:t>
      </w:r>
      <w:r>
        <w:rPr>
          <w:sz w:val="24"/>
          <w:u w:val="single"/>
        </w:rPr>
        <w:t xml:space="preserve">                    </w:t>
      </w:r>
    </w:p>
    <w:p w14:paraId="6EA4819E">
      <w:pPr>
        <w:spacing w:line="460" w:lineRule="exact"/>
        <w:rPr>
          <w:sz w:val="24"/>
        </w:rPr>
      </w:pPr>
      <w:r>
        <w:rPr>
          <w:sz w:val="24"/>
        </w:rPr>
        <w:t>项目编号：</w:t>
      </w:r>
      <w:r>
        <w:rPr>
          <w:sz w:val="24"/>
          <w:u w:val="single"/>
        </w:rPr>
        <w:t xml:space="preserve">                    </w:t>
      </w:r>
    </w:p>
    <w:p w14:paraId="71032221">
      <w:pPr>
        <w:spacing w:line="460" w:lineRule="exact"/>
        <w:rPr>
          <w:sz w:val="24"/>
          <w:u w:val="single"/>
        </w:rPr>
      </w:pPr>
      <w:r>
        <w:rPr>
          <w:sz w:val="24"/>
        </w:rPr>
        <w:t>包号：</w:t>
      </w:r>
      <w:r>
        <w:rPr>
          <w:sz w:val="24"/>
          <w:u w:val="single"/>
        </w:rPr>
        <w:t xml:space="preserve">                        </w:t>
      </w:r>
    </w:p>
    <w:p w14:paraId="74BF7C2B">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25AE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3ECF334">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53EA44EA">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497369C0">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6FB005EC">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027223DE">
            <w:pPr>
              <w:snapToGrid w:val="0"/>
              <w:jc w:val="center"/>
              <w:rPr>
                <w:sz w:val="24"/>
              </w:rPr>
            </w:pPr>
            <w:r>
              <w:rPr>
                <w:sz w:val="24"/>
              </w:rPr>
              <w:t>项目起止时间</w:t>
            </w:r>
          </w:p>
        </w:tc>
      </w:tr>
      <w:tr w14:paraId="0D7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D7593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64DBAF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DC64AC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4C90EB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DA8044E">
            <w:pPr>
              <w:snapToGrid w:val="0"/>
              <w:jc w:val="center"/>
              <w:rPr>
                <w:sz w:val="24"/>
              </w:rPr>
            </w:pPr>
          </w:p>
        </w:tc>
      </w:tr>
      <w:tr w14:paraId="001B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D63C3B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B8002A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452AC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E73E0E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DB8D2CE">
            <w:pPr>
              <w:snapToGrid w:val="0"/>
              <w:jc w:val="center"/>
              <w:rPr>
                <w:sz w:val="24"/>
              </w:rPr>
            </w:pPr>
          </w:p>
        </w:tc>
      </w:tr>
      <w:tr w14:paraId="63F7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642D6B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8FB938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3CB6F9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6BF487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E078D1A">
            <w:pPr>
              <w:snapToGrid w:val="0"/>
              <w:jc w:val="center"/>
              <w:rPr>
                <w:sz w:val="24"/>
              </w:rPr>
            </w:pPr>
          </w:p>
        </w:tc>
      </w:tr>
      <w:tr w14:paraId="3BE17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9FB985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3A719B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97E30E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079A42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3C312DD">
            <w:pPr>
              <w:snapToGrid w:val="0"/>
              <w:jc w:val="center"/>
              <w:rPr>
                <w:sz w:val="24"/>
              </w:rPr>
            </w:pPr>
          </w:p>
        </w:tc>
      </w:tr>
      <w:tr w14:paraId="184F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8477E9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E307B8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4C342A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8BFE59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810CC28">
            <w:pPr>
              <w:snapToGrid w:val="0"/>
              <w:jc w:val="center"/>
              <w:rPr>
                <w:sz w:val="24"/>
              </w:rPr>
            </w:pPr>
          </w:p>
        </w:tc>
      </w:tr>
      <w:tr w14:paraId="049F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54FF96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B0C39B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62577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6ABF97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EF4241A">
            <w:pPr>
              <w:snapToGrid w:val="0"/>
              <w:jc w:val="center"/>
              <w:rPr>
                <w:sz w:val="24"/>
              </w:rPr>
            </w:pPr>
          </w:p>
        </w:tc>
      </w:tr>
      <w:tr w14:paraId="64A2D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3E0936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5A8580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291E51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D8641B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082526E">
            <w:pPr>
              <w:snapToGrid w:val="0"/>
              <w:jc w:val="center"/>
              <w:rPr>
                <w:sz w:val="24"/>
              </w:rPr>
            </w:pPr>
          </w:p>
        </w:tc>
      </w:tr>
      <w:tr w14:paraId="717B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5F6146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4AFF44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7249A2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F620B9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205E86B">
            <w:pPr>
              <w:snapToGrid w:val="0"/>
              <w:jc w:val="center"/>
              <w:rPr>
                <w:sz w:val="24"/>
              </w:rPr>
            </w:pPr>
          </w:p>
        </w:tc>
      </w:tr>
      <w:tr w14:paraId="3DC1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F68C51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0AA6B6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6A32C9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AF7E5E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5715453">
            <w:pPr>
              <w:snapToGrid w:val="0"/>
              <w:jc w:val="center"/>
              <w:rPr>
                <w:sz w:val="24"/>
              </w:rPr>
            </w:pPr>
          </w:p>
        </w:tc>
      </w:tr>
      <w:tr w14:paraId="260C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A7C1CE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DCAA5F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E98CD8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9FDD04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932170B">
            <w:pPr>
              <w:snapToGrid w:val="0"/>
              <w:jc w:val="center"/>
              <w:rPr>
                <w:sz w:val="24"/>
              </w:rPr>
            </w:pPr>
          </w:p>
        </w:tc>
      </w:tr>
      <w:tr w14:paraId="2E48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B8C606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1511CA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17FCD4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07D567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42119C9">
            <w:pPr>
              <w:snapToGrid w:val="0"/>
              <w:jc w:val="center"/>
              <w:rPr>
                <w:sz w:val="24"/>
              </w:rPr>
            </w:pPr>
          </w:p>
        </w:tc>
      </w:tr>
    </w:tbl>
    <w:p w14:paraId="27318A62">
      <w:pPr>
        <w:spacing w:line="560" w:lineRule="exact"/>
        <w:rPr>
          <w:sz w:val="24"/>
        </w:rPr>
      </w:pPr>
      <w:r>
        <w:rPr>
          <w:sz w:val="24"/>
        </w:rPr>
        <w:t>备注：若招标文件第二部分评分因素及评标标准中要求提供业绩的，投标人所列业绩应按其要求将证明材料按顺序附后。</w:t>
      </w:r>
    </w:p>
    <w:p w14:paraId="2E7A4A93">
      <w:pPr>
        <w:spacing w:line="560" w:lineRule="exact"/>
        <w:rPr>
          <w:sz w:val="24"/>
        </w:rPr>
      </w:pPr>
    </w:p>
    <w:p w14:paraId="4B505BC2">
      <w:pPr>
        <w:spacing w:line="360" w:lineRule="auto"/>
        <w:ind w:firstLine="3808" w:firstLineChars="1700"/>
        <w:rPr>
          <w:sz w:val="24"/>
        </w:rPr>
      </w:pPr>
      <w:r>
        <w:rPr>
          <w:sz w:val="24"/>
        </w:rPr>
        <w:t>投标人名称：</w:t>
      </w:r>
    </w:p>
    <w:p w14:paraId="097F43E6">
      <w:pPr>
        <w:spacing w:line="360" w:lineRule="auto"/>
        <w:ind w:firstLine="3808" w:firstLineChars="1700"/>
        <w:rPr>
          <w:sz w:val="24"/>
        </w:rPr>
      </w:pPr>
    </w:p>
    <w:p w14:paraId="737ED79E">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6F2EFD8">
      <w:pPr>
        <w:spacing w:line="460" w:lineRule="exact"/>
        <w:rPr>
          <w:sz w:val="24"/>
        </w:rPr>
      </w:pPr>
    </w:p>
    <w:p w14:paraId="51F89D6C">
      <w:pPr>
        <w:widowControl/>
        <w:jc w:val="left"/>
        <w:rPr>
          <w:sz w:val="24"/>
        </w:rPr>
      </w:pPr>
      <w:r>
        <w:rPr>
          <w:sz w:val="24"/>
        </w:rPr>
        <w:br w:type="page"/>
      </w:r>
    </w:p>
    <w:p w14:paraId="7E50080D">
      <w:pPr>
        <w:tabs>
          <w:tab w:val="left" w:pos="360"/>
        </w:tabs>
        <w:spacing w:line="360" w:lineRule="auto"/>
        <w:rPr>
          <w:b/>
          <w:sz w:val="24"/>
        </w:rPr>
      </w:pPr>
      <w:r>
        <w:rPr>
          <w:b/>
          <w:sz w:val="24"/>
        </w:rPr>
        <w:t>附件</w:t>
      </w:r>
      <w:r>
        <w:rPr>
          <w:rFonts w:hint="eastAsia"/>
          <w:b/>
          <w:sz w:val="24"/>
        </w:rPr>
        <w:t>8</w:t>
      </w:r>
    </w:p>
    <w:p w14:paraId="41E1FF87">
      <w:pPr>
        <w:autoSpaceDN w:val="0"/>
        <w:spacing w:line="360" w:lineRule="auto"/>
        <w:jc w:val="center"/>
        <w:rPr>
          <w:b/>
          <w:bCs/>
          <w:sz w:val="24"/>
        </w:rPr>
      </w:pPr>
      <w:r>
        <w:rPr>
          <w:rFonts w:hint="eastAsia"/>
          <w:b/>
          <w:bCs/>
          <w:sz w:val="24"/>
        </w:rPr>
        <w:t>投标</w:t>
      </w:r>
      <w:r>
        <w:rPr>
          <w:b/>
          <w:bCs/>
          <w:sz w:val="24"/>
        </w:rPr>
        <w:t>代表人授权书</w:t>
      </w:r>
    </w:p>
    <w:p w14:paraId="767B0522">
      <w:pPr>
        <w:spacing w:line="360" w:lineRule="auto"/>
        <w:rPr>
          <w:sz w:val="24"/>
          <w:szCs w:val="21"/>
        </w:rPr>
      </w:pPr>
    </w:p>
    <w:p w14:paraId="7894BE5B">
      <w:pPr>
        <w:spacing w:line="360" w:lineRule="auto"/>
        <w:rPr>
          <w:sz w:val="24"/>
          <w:szCs w:val="21"/>
        </w:rPr>
      </w:pPr>
      <w:r>
        <w:rPr>
          <w:sz w:val="24"/>
          <w:szCs w:val="21"/>
        </w:rPr>
        <w:t>致：天津市政府采购中心</w:t>
      </w:r>
    </w:p>
    <w:p w14:paraId="09F51D95">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392E8A8F">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586CCA44">
      <w:pPr>
        <w:spacing w:line="360" w:lineRule="auto"/>
        <w:ind w:firstLine="448" w:firstLineChars="200"/>
        <w:rPr>
          <w:sz w:val="24"/>
          <w:szCs w:val="21"/>
        </w:rPr>
      </w:pPr>
      <w:r>
        <w:rPr>
          <w:sz w:val="24"/>
          <w:szCs w:val="21"/>
        </w:rPr>
        <w:t>本授权书至投标有效期结束前始终有效。</w:t>
      </w:r>
    </w:p>
    <w:p w14:paraId="7A5097FE">
      <w:pPr>
        <w:spacing w:line="360" w:lineRule="auto"/>
        <w:ind w:firstLine="448" w:firstLineChars="200"/>
        <w:rPr>
          <w:sz w:val="24"/>
          <w:szCs w:val="21"/>
        </w:rPr>
      </w:pPr>
      <w:r>
        <w:rPr>
          <w:sz w:val="24"/>
          <w:szCs w:val="21"/>
        </w:rPr>
        <w:t>投标代表人无转委托权，特此委托。</w:t>
      </w:r>
    </w:p>
    <w:p w14:paraId="42403E69">
      <w:pPr>
        <w:spacing w:line="360" w:lineRule="auto"/>
        <w:ind w:firstLine="448" w:firstLineChars="200"/>
        <w:rPr>
          <w:sz w:val="24"/>
        </w:rPr>
      </w:pPr>
    </w:p>
    <w:p w14:paraId="3185E0A8">
      <w:pPr>
        <w:spacing w:line="360" w:lineRule="auto"/>
        <w:ind w:firstLine="448" w:firstLineChars="200"/>
        <w:rPr>
          <w:sz w:val="24"/>
        </w:rPr>
      </w:pPr>
    </w:p>
    <w:p w14:paraId="1C068138">
      <w:pPr>
        <w:spacing w:line="480" w:lineRule="auto"/>
        <w:jc w:val="center"/>
        <w:rPr>
          <w:sz w:val="24"/>
        </w:rPr>
      </w:pPr>
      <w:r>
        <w:rPr>
          <w:sz w:val="24"/>
        </w:rPr>
        <w:t xml:space="preserve">     年   月   日 </w:t>
      </w:r>
    </w:p>
    <w:p w14:paraId="75AAAB4D">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0D03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1112B7BE">
            <w:pPr>
              <w:spacing w:line="360" w:lineRule="auto"/>
              <w:jc w:val="left"/>
              <w:rPr>
                <w:sz w:val="24"/>
              </w:rPr>
            </w:pPr>
            <w:r>
              <w:rPr>
                <w:sz w:val="24"/>
              </w:rPr>
              <w:t>投标代表人身份证正面</w:t>
            </w:r>
          </w:p>
          <w:p w14:paraId="186D9621">
            <w:pPr>
              <w:spacing w:line="360" w:lineRule="auto"/>
              <w:jc w:val="left"/>
              <w:rPr>
                <w:sz w:val="24"/>
              </w:rPr>
            </w:pPr>
          </w:p>
          <w:p w14:paraId="0BA21C51">
            <w:pPr>
              <w:spacing w:line="360" w:lineRule="auto"/>
              <w:jc w:val="left"/>
              <w:rPr>
                <w:sz w:val="24"/>
              </w:rPr>
            </w:pPr>
          </w:p>
          <w:p w14:paraId="3E66D956">
            <w:pPr>
              <w:spacing w:line="360" w:lineRule="auto"/>
              <w:jc w:val="left"/>
              <w:rPr>
                <w:sz w:val="24"/>
              </w:rPr>
            </w:pPr>
          </w:p>
          <w:p w14:paraId="1C4E4E9D">
            <w:pPr>
              <w:spacing w:line="360" w:lineRule="auto"/>
              <w:jc w:val="left"/>
              <w:rPr>
                <w:sz w:val="24"/>
              </w:rPr>
            </w:pPr>
          </w:p>
          <w:p w14:paraId="6C130093">
            <w:pPr>
              <w:spacing w:line="360" w:lineRule="auto"/>
              <w:jc w:val="left"/>
              <w:rPr>
                <w:sz w:val="24"/>
              </w:rPr>
            </w:pPr>
          </w:p>
        </w:tc>
        <w:tc>
          <w:tcPr>
            <w:tcW w:w="4264" w:type="dxa"/>
          </w:tcPr>
          <w:p w14:paraId="4E8BB60A">
            <w:pPr>
              <w:spacing w:line="360" w:lineRule="auto"/>
              <w:jc w:val="left"/>
              <w:rPr>
                <w:sz w:val="24"/>
              </w:rPr>
            </w:pPr>
            <w:r>
              <w:rPr>
                <w:sz w:val="24"/>
              </w:rPr>
              <w:t>投标代表人身份证背面</w:t>
            </w:r>
          </w:p>
        </w:tc>
      </w:tr>
    </w:tbl>
    <w:p w14:paraId="40D1134B">
      <w:pPr>
        <w:widowControl/>
        <w:jc w:val="left"/>
        <w:rPr>
          <w:sz w:val="24"/>
        </w:rPr>
      </w:pPr>
      <w:r>
        <w:rPr>
          <w:sz w:val="24"/>
        </w:rPr>
        <w:br w:type="page"/>
      </w:r>
    </w:p>
    <w:p w14:paraId="565BB956">
      <w:pPr>
        <w:autoSpaceDN w:val="0"/>
        <w:spacing w:line="360" w:lineRule="auto"/>
        <w:jc w:val="left"/>
        <w:rPr>
          <w:b/>
          <w:bCs/>
          <w:sz w:val="24"/>
        </w:rPr>
      </w:pPr>
      <w:r>
        <w:rPr>
          <w:b/>
          <w:bCs/>
          <w:sz w:val="24"/>
        </w:rPr>
        <w:t>附件</w:t>
      </w:r>
      <w:r>
        <w:rPr>
          <w:rFonts w:hint="eastAsia"/>
          <w:b/>
          <w:bCs/>
          <w:sz w:val="24"/>
        </w:rPr>
        <w:t>9-1</w:t>
      </w:r>
    </w:p>
    <w:p w14:paraId="742D33F7">
      <w:pPr>
        <w:autoSpaceDE w:val="0"/>
        <w:autoSpaceDN w:val="0"/>
        <w:spacing w:line="480" w:lineRule="auto"/>
        <w:jc w:val="center"/>
        <w:rPr>
          <w:sz w:val="24"/>
          <w:szCs w:val="24"/>
        </w:rPr>
      </w:pPr>
      <w:r>
        <w:rPr>
          <w:b/>
          <w:sz w:val="24"/>
          <w:szCs w:val="24"/>
        </w:rPr>
        <w:t>中小企业声明函（服务）</w:t>
      </w:r>
    </w:p>
    <w:p w14:paraId="1C32E06D">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0E9E80C6">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w:t>
      </w:r>
      <w:r>
        <w:rPr>
          <w:sz w:val="24"/>
          <w:szCs w:val="24"/>
          <w:u w:val="single"/>
        </w:rPr>
        <w:t xml:space="preserve">和信息技术服务业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870CB31">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65AA8FCC">
      <w:pPr>
        <w:autoSpaceDE w:val="0"/>
        <w:autoSpaceDN w:val="0"/>
        <w:spacing w:line="500" w:lineRule="exact"/>
        <w:ind w:left="641"/>
        <w:jc w:val="left"/>
        <w:rPr>
          <w:sz w:val="24"/>
          <w:szCs w:val="24"/>
        </w:rPr>
      </w:pPr>
      <w:r>
        <w:rPr>
          <w:sz w:val="24"/>
          <w:szCs w:val="24"/>
        </w:rPr>
        <w:t>……</w:t>
      </w:r>
    </w:p>
    <w:p w14:paraId="47ED560B">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3602E0D0">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53125EF7">
      <w:pPr>
        <w:autoSpaceDE w:val="0"/>
        <w:autoSpaceDN w:val="0"/>
        <w:spacing w:line="500" w:lineRule="exact"/>
        <w:ind w:left="3840"/>
        <w:jc w:val="left"/>
        <w:rPr>
          <w:sz w:val="24"/>
          <w:szCs w:val="24"/>
        </w:rPr>
      </w:pPr>
      <w:r>
        <w:rPr>
          <w:sz w:val="24"/>
          <w:szCs w:val="24"/>
        </w:rPr>
        <w:t>投标人名称：</w:t>
      </w:r>
    </w:p>
    <w:p w14:paraId="26D2D792">
      <w:pPr>
        <w:autoSpaceDE w:val="0"/>
        <w:autoSpaceDN w:val="0"/>
        <w:spacing w:line="500" w:lineRule="exact"/>
        <w:ind w:left="3840"/>
        <w:jc w:val="left"/>
        <w:rPr>
          <w:sz w:val="32"/>
        </w:rPr>
      </w:pPr>
      <w:r>
        <w:rPr>
          <w:sz w:val="24"/>
          <w:szCs w:val="24"/>
        </w:rPr>
        <w:t>日期：</w:t>
      </w:r>
    </w:p>
    <w:p w14:paraId="2D4B8FD7">
      <w:pPr>
        <w:spacing w:line="360" w:lineRule="auto"/>
        <w:ind w:right="84" w:firstLine="224" w:firstLineChars="100"/>
        <w:rPr>
          <w:b/>
          <w:sz w:val="24"/>
          <w:szCs w:val="24"/>
        </w:rPr>
      </w:pPr>
      <w:r>
        <w:rPr>
          <w:b/>
          <w:sz w:val="24"/>
          <w:szCs w:val="24"/>
        </w:rPr>
        <w:t>注：</w:t>
      </w:r>
    </w:p>
    <w:p w14:paraId="055A9C01">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6C9CFBAA">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03F1E464">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30EC18D3">
      <w:pPr>
        <w:widowControl/>
        <w:jc w:val="left"/>
        <w:rPr>
          <w:sz w:val="24"/>
        </w:rPr>
      </w:pPr>
      <w:r>
        <w:rPr>
          <w:sz w:val="24"/>
        </w:rPr>
        <w:br w:type="page"/>
      </w:r>
    </w:p>
    <w:p w14:paraId="62CB2947">
      <w:pPr>
        <w:autoSpaceDN w:val="0"/>
        <w:spacing w:line="360" w:lineRule="auto"/>
        <w:rPr>
          <w:b/>
          <w:bCs/>
          <w:sz w:val="24"/>
        </w:rPr>
      </w:pPr>
      <w:bookmarkStart w:id="6" w:name="OLE_LINK13"/>
      <w:bookmarkStart w:id="7" w:name="OLE_LINK14"/>
      <w:r>
        <w:rPr>
          <w:rFonts w:hint="eastAsia"/>
          <w:b/>
          <w:bCs/>
          <w:sz w:val="24"/>
        </w:rPr>
        <w:t>附件9-2</w:t>
      </w:r>
    </w:p>
    <w:bookmarkEnd w:id="6"/>
    <w:bookmarkEnd w:id="7"/>
    <w:p w14:paraId="5953A534">
      <w:pPr>
        <w:autoSpaceDN w:val="0"/>
        <w:spacing w:line="360" w:lineRule="auto"/>
        <w:jc w:val="left"/>
        <w:rPr>
          <w:b/>
          <w:bCs/>
          <w:sz w:val="24"/>
        </w:rPr>
      </w:pPr>
      <w:r>
        <w:rPr>
          <w:rFonts w:hint="eastAsia"/>
          <w:b/>
          <w:kern w:val="0"/>
          <w:sz w:val="24"/>
          <w:szCs w:val="21"/>
        </w:rPr>
        <w:t>若不是残疾人福利性单位，投标文件中可不提供此声明函</w:t>
      </w:r>
    </w:p>
    <w:p w14:paraId="31F846B6">
      <w:pPr>
        <w:autoSpaceDN w:val="0"/>
        <w:spacing w:line="360" w:lineRule="auto"/>
        <w:jc w:val="center"/>
        <w:rPr>
          <w:b/>
          <w:bCs/>
          <w:sz w:val="24"/>
        </w:rPr>
      </w:pPr>
    </w:p>
    <w:p w14:paraId="03E7D9BA">
      <w:pPr>
        <w:snapToGrid w:val="0"/>
        <w:spacing w:line="360" w:lineRule="auto"/>
        <w:jc w:val="center"/>
        <w:rPr>
          <w:b/>
          <w:bCs/>
          <w:sz w:val="24"/>
        </w:rPr>
      </w:pPr>
      <w:r>
        <w:rPr>
          <w:rFonts w:hint="eastAsia"/>
          <w:b/>
          <w:bCs/>
          <w:sz w:val="24"/>
        </w:rPr>
        <w:t>残疾人福利性单位声明函</w:t>
      </w:r>
    </w:p>
    <w:p w14:paraId="521DD405">
      <w:pPr>
        <w:snapToGrid w:val="0"/>
        <w:spacing w:line="360" w:lineRule="auto"/>
        <w:ind w:firstLine="448" w:firstLineChars="200"/>
        <w:jc w:val="left"/>
        <w:rPr>
          <w:b/>
          <w:bCs/>
          <w:sz w:val="24"/>
        </w:rPr>
      </w:pPr>
    </w:p>
    <w:p w14:paraId="3BF5A0E4">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5BBF72C">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636595D2">
      <w:pPr>
        <w:snapToGrid w:val="0"/>
        <w:spacing w:line="360" w:lineRule="auto"/>
        <w:ind w:firstLine="448" w:firstLineChars="200"/>
        <w:jc w:val="left"/>
        <w:rPr>
          <w:bCs/>
          <w:sz w:val="24"/>
        </w:rPr>
      </w:pPr>
    </w:p>
    <w:p w14:paraId="01078470">
      <w:pPr>
        <w:snapToGrid w:val="0"/>
        <w:spacing w:line="360" w:lineRule="auto"/>
        <w:ind w:firstLine="448" w:firstLineChars="200"/>
        <w:jc w:val="left"/>
        <w:rPr>
          <w:bCs/>
          <w:sz w:val="24"/>
        </w:rPr>
      </w:pPr>
    </w:p>
    <w:p w14:paraId="0A2187DE">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62BE36B6">
      <w:pPr>
        <w:snapToGrid w:val="0"/>
        <w:spacing w:line="360" w:lineRule="auto"/>
        <w:ind w:firstLine="448" w:firstLineChars="200"/>
        <w:jc w:val="left"/>
        <w:rPr>
          <w:bCs/>
          <w:sz w:val="24"/>
        </w:rPr>
      </w:pPr>
    </w:p>
    <w:p w14:paraId="43012AF3">
      <w:pPr>
        <w:snapToGrid w:val="0"/>
        <w:spacing w:line="360" w:lineRule="auto"/>
        <w:ind w:firstLine="448" w:firstLineChars="200"/>
        <w:jc w:val="left"/>
        <w:rPr>
          <w:sz w:val="24"/>
          <w:szCs w:val="21"/>
        </w:rPr>
      </w:pPr>
      <w:r>
        <w:rPr>
          <w:rFonts w:hint="eastAsia"/>
          <w:bCs/>
          <w:sz w:val="24"/>
        </w:rPr>
        <w:t xml:space="preserve">               日  期：</w:t>
      </w:r>
    </w:p>
    <w:p w14:paraId="48A4DA06">
      <w:pPr>
        <w:snapToGrid w:val="0"/>
        <w:spacing w:line="360" w:lineRule="auto"/>
        <w:ind w:firstLine="448" w:firstLineChars="200"/>
        <w:jc w:val="left"/>
        <w:rPr>
          <w:sz w:val="24"/>
          <w:szCs w:val="21"/>
        </w:rPr>
      </w:pPr>
    </w:p>
    <w:p w14:paraId="5645200A">
      <w:pPr>
        <w:snapToGrid w:val="0"/>
        <w:spacing w:line="360" w:lineRule="auto"/>
        <w:ind w:firstLine="448" w:firstLineChars="200"/>
        <w:rPr>
          <w:sz w:val="24"/>
          <w:szCs w:val="21"/>
        </w:rPr>
      </w:pPr>
      <w:r>
        <w:rPr>
          <w:sz w:val="24"/>
          <w:szCs w:val="21"/>
        </w:rPr>
        <w:t>注：</w:t>
      </w:r>
    </w:p>
    <w:p w14:paraId="436199BD">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33729479">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4A6A0E66">
      <w:pPr>
        <w:snapToGrid w:val="0"/>
        <w:spacing w:line="360" w:lineRule="auto"/>
        <w:ind w:firstLine="448" w:firstLineChars="200"/>
        <w:rPr>
          <w:color w:val="FF0000"/>
          <w:sz w:val="24"/>
          <w:szCs w:val="21"/>
        </w:rPr>
      </w:pPr>
    </w:p>
    <w:p w14:paraId="681CF5E5">
      <w:pPr>
        <w:snapToGrid w:val="0"/>
        <w:spacing w:line="360" w:lineRule="auto"/>
        <w:ind w:firstLine="448" w:firstLineChars="200"/>
        <w:jc w:val="left"/>
        <w:rPr>
          <w:sz w:val="24"/>
          <w:szCs w:val="21"/>
        </w:rPr>
      </w:pPr>
    </w:p>
    <w:p w14:paraId="3A0E9D75">
      <w:pPr>
        <w:spacing w:line="360" w:lineRule="auto"/>
        <w:ind w:right="84" w:firstLine="224" w:firstLineChars="100"/>
        <w:rPr>
          <w:position w:val="-40"/>
          <w:sz w:val="24"/>
        </w:rPr>
      </w:pPr>
    </w:p>
    <w:p w14:paraId="755893FA">
      <w:pPr>
        <w:tabs>
          <w:tab w:val="left" w:pos="360"/>
        </w:tabs>
        <w:spacing w:line="360" w:lineRule="auto"/>
        <w:rPr>
          <w:b/>
          <w:bCs/>
          <w:sz w:val="24"/>
        </w:rPr>
      </w:pPr>
      <w:r>
        <w:rPr>
          <w:sz w:val="24"/>
        </w:rPr>
        <w:br w:type="page"/>
      </w:r>
      <w:r>
        <w:rPr>
          <w:b/>
          <w:sz w:val="24"/>
        </w:rPr>
        <w:t>附件</w:t>
      </w:r>
      <w:r>
        <w:rPr>
          <w:rFonts w:hint="eastAsia"/>
          <w:b/>
          <w:sz w:val="24"/>
        </w:rPr>
        <w:t>10：</w:t>
      </w:r>
      <w:r>
        <w:rPr>
          <w:b/>
          <w:sz w:val="24"/>
        </w:rPr>
        <w:t>招标文件</w:t>
      </w:r>
      <w:r>
        <w:rPr>
          <w:b/>
          <w:bCs/>
          <w:sz w:val="24"/>
        </w:rPr>
        <w:t>评分因素及评标标准中要求的证明材料电子件、方案等</w:t>
      </w:r>
    </w:p>
    <w:p w14:paraId="0EF2DFB7">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
    <w:altName w:val="汉仪中黑KW"/>
    <w:panose1 w:val="00000000000000000000"/>
    <w:charset w:val="86"/>
    <w:family w:val="auto"/>
    <w:pitch w:val="default"/>
    <w:sig w:usb0="00000000" w:usb1="00000000" w:usb2="00000010" w:usb3="00000000" w:csb0="00040000" w:csb1="00000000"/>
  </w:font>
  <w:font w:name="仿宋_GB2312">
    <w:altName w:val="汉仪仿宋KW"/>
    <w:panose1 w:val="00000000000000000000"/>
    <w:charset w:val="86"/>
    <w:family w:val="modern"/>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 w:name="Source Han Sans CN">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5775D">
    <w:pPr>
      <w:pStyle w:val="14"/>
      <w:jc w:val="center"/>
    </w:pPr>
    <w:r>
      <w:rPr>
        <w:b/>
      </w:rPr>
      <w:fldChar w:fldCharType="begin"/>
    </w:r>
    <w:r>
      <w:rPr>
        <w:b/>
      </w:rPr>
      <w:instrText xml:space="preserve">PAGE  \* Arabic  \* MERGEFORMAT</w:instrText>
    </w:r>
    <w:r>
      <w:rPr>
        <w:b/>
      </w:rPr>
      <w:fldChar w:fldCharType="separate"/>
    </w:r>
    <w:r>
      <w:rPr>
        <w:b/>
        <w:lang w:val="zh-CN"/>
      </w:rPr>
      <w:t>10</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B6E01">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1DE"/>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245B"/>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6B0"/>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32EC"/>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3A51"/>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0268"/>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1017"/>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1CC3"/>
    <w:rsid w:val="007B4E82"/>
    <w:rsid w:val="007B5D7F"/>
    <w:rsid w:val="007B6992"/>
    <w:rsid w:val="007B7C1E"/>
    <w:rsid w:val="007B7E26"/>
    <w:rsid w:val="007C1D1B"/>
    <w:rsid w:val="007C1F44"/>
    <w:rsid w:val="007C6783"/>
    <w:rsid w:val="007D262E"/>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0148"/>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1586"/>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8347D"/>
    <w:rsid w:val="00A90C1C"/>
    <w:rsid w:val="00A90E13"/>
    <w:rsid w:val="00A91021"/>
    <w:rsid w:val="00A92667"/>
    <w:rsid w:val="00A92A1A"/>
    <w:rsid w:val="00A936E7"/>
    <w:rsid w:val="00A937B4"/>
    <w:rsid w:val="00A93DFB"/>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5625"/>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C7AE4"/>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2522"/>
    <w:rsid w:val="00C22FC8"/>
    <w:rsid w:val="00C23D41"/>
    <w:rsid w:val="00C24369"/>
    <w:rsid w:val="00C24668"/>
    <w:rsid w:val="00C258AC"/>
    <w:rsid w:val="00C2600B"/>
    <w:rsid w:val="00C26AB0"/>
    <w:rsid w:val="00C27942"/>
    <w:rsid w:val="00C337B7"/>
    <w:rsid w:val="00C352E4"/>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02E"/>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349B"/>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293C"/>
    <w:rsid w:val="00E337A0"/>
    <w:rsid w:val="00E34F78"/>
    <w:rsid w:val="00E3578B"/>
    <w:rsid w:val="00E3596D"/>
    <w:rsid w:val="00E3724F"/>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30F0"/>
    <w:rsid w:val="00E67265"/>
    <w:rsid w:val="00E70135"/>
    <w:rsid w:val="00E70592"/>
    <w:rsid w:val="00E70885"/>
    <w:rsid w:val="00E716E0"/>
    <w:rsid w:val="00E71BED"/>
    <w:rsid w:val="00E728A3"/>
    <w:rsid w:val="00E735F8"/>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023"/>
    <w:rsid w:val="00EC36BA"/>
    <w:rsid w:val="00EC3ACA"/>
    <w:rsid w:val="00EC41BC"/>
    <w:rsid w:val="00EC554C"/>
    <w:rsid w:val="00EC6C23"/>
    <w:rsid w:val="00EC6E7D"/>
    <w:rsid w:val="00EC7C9F"/>
    <w:rsid w:val="00ED080B"/>
    <w:rsid w:val="00ED0E03"/>
    <w:rsid w:val="00ED22D8"/>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6B46418"/>
    <w:rsid w:val="10117719"/>
    <w:rsid w:val="247F2309"/>
    <w:rsid w:val="37655266"/>
    <w:rsid w:val="4AC607DB"/>
    <w:rsid w:val="52A96AA2"/>
    <w:rsid w:val="53DF5AF5"/>
    <w:rsid w:val="5C6623BE"/>
    <w:rsid w:val="C61FC5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qFormat/>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autoRedefine/>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autoRedefine/>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E3FECE-3557-436C-AE6B-CA2879AEFB9C}">
  <ds:schemaRefs/>
</ds:datastoreItem>
</file>

<file path=docProps/app.xml><?xml version="1.0" encoding="utf-8"?>
<Properties xmlns="http://schemas.openxmlformats.org/officeDocument/2006/extended-properties" xmlns:vt="http://schemas.openxmlformats.org/officeDocument/2006/docPropsVTypes">
  <Company>MS</Company>
  <Pages>10</Pages>
  <Words>5892</Words>
  <Characters>33587</Characters>
  <Lines>279</Lines>
  <Paragraphs>78</Paragraphs>
  <TotalTime>74</TotalTime>
  <ScaleCrop>false</ScaleCrop>
  <LinksUpToDate>false</LinksUpToDate>
  <CharactersWithSpaces>39401</CharactersWithSpaces>
  <Application>WPS Office WWO_wpscloud_20250116195353-13c312bd48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2026-01-23T16:58:00Z</dcterms:created>
  <dc:creator>未定义</dc:creator>
  <cp:lastModifiedBy>丁亚天</cp:lastModifiedBy>
  <dcterms:modified xsi:type="dcterms:W3CDTF">2026-08-14T15:59:23Z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2052-0.0.0.0</vt:lpwstr>
  </property>
  <property fmtid="{D5CDD505-2E9C-101B-9397-08002B2CF9AE}" pid="4" name="ICV">
    <vt:lpwstr>EC22C25C24F3ECEADBCA7E6A3BEFE756_43</vt:lpwstr>
  </property>
</Properties>
</file>